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rPr>
          <w:rFonts w:hint="eastAsia" w:ascii="仿宋_GB2312" w:eastAsia="仿宋_GB2312" w:hAnsiTheme="minorEastAsia"/>
          <w:spacing w:val="-20"/>
          <w:sz w:val="32"/>
          <w:szCs w:val="32"/>
        </w:rPr>
      </w:pPr>
    </w:p>
    <w:p>
      <w:pPr>
        <w:adjustRightInd w:val="0"/>
        <w:snapToGrid w:val="0"/>
        <w:spacing w:line="360" w:lineRule="auto"/>
        <w:rPr>
          <w:rFonts w:ascii="仿宋_GB2312" w:hAnsi="华文中宋" w:eastAsia="仿宋_GB2312" w:cs="华文中宋"/>
          <w:sz w:val="32"/>
          <w:szCs w:val="32"/>
        </w:rPr>
      </w:pPr>
    </w:p>
    <w:p>
      <w:pPr>
        <w:adjustRightInd w:val="0"/>
        <w:snapToGrid w:val="0"/>
        <w:spacing w:line="360" w:lineRule="auto"/>
        <w:rPr>
          <w:rFonts w:ascii="微软雅黑" w:hAnsi="微软雅黑" w:eastAsia="微软雅黑"/>
          <w:b/>
          <w:sz w:val="32"/>
          <w:szCs w:val="32"/>
        </w:rPr>
      </w:pPr>
    </w:p>
    <w:p>
      <w:pPr>
        <w:adjustRightInd w:val="0"/>
        <w:snapToGrid w:val="0"/>
        <w:spacing w:line="600" w:lineRule="exact"/>
        <w:jc w:val="center"/>
        <w:rPr>
          <w:rFonts w:ascii="方正小标宋简体" w:hAnsi="华文中宋" w:eastAsia="方正小标宋简体" w:cs="华文中宋"/>
          <w:b/>
          <w:sz w:val="44"/>
          <w:szCs w:val="44"/>
        </w:rPr>
      </w:pPr>
      <w:r>
        <w:rPr>
          <w:rFonts w:hint="eastAsia" w:ascii="方正小标宋简体" w:hAnsi="华文中宋" w:eastAsia="方正小标宋简体" w:cs="华文中宋"/>
          <w:b/>
          <w:sz w:val="44"/>
          <w:szCs w:val="44"/>
        </w:rPr>
        <w:t>四川泸县经济开发区管理委员员会</w:t>
      </w:r>
    </w:p>
    <w:p>
      <w:pPr>
        <w:spacing w:line="600" w:lineRule="exact"/>
        <w:jc w:val="center"/>
        <w:rPr>
          <w:rFonts w:ascii="方正小标宋简体" w:hAnsi="华文中宋" w:eastAsia="方正小标宋简体" w:cs="华文中宋"/>
          <w:b/>
          <w:sz w:val="44"/>
          <w:szCs w:val="44"/>
        </w:rPr>
      </w:pPr>
      <w:r>
        <w:rPr>
          <w:rFonts w:hint="eastAsia" w:ascii="方正小标宋简体" w:hAnsi="华文中宋" w:eastAsia="方正小标宋简体" w:cs="华文中宋"/>
          <w:b/>
          <w:sz w:val="44"/>
          <w:szCs w:val="44"/>
        </w:rPr>
        <w:t>关于征求《</w:t>
      </w:r>
      <w:bookmarkStart w:id="77" w:name="_GoBack"/>
      <w:r>
        <w:rPr>
          <w:rFonts w:hint="eastAsia" w:ascii="方正小标宋简体" w:hAnsi="华文中宋" w:eastAsia="方正小标宋简体" w:cs="华文中宋"/>
          <w:b/>
          <w:sz w:val="44"/>
          <w:szCs w:val="44"/>
        </w:rPr>
        <w:t>四川泸县经济开发区“十四五”发展规划（征求意见稿）</w:t>
      </w:r>
      <w:bookmarkEnd w:id="77"/>
      <w:r>
        <w:rPr>
          <w:rFonts w:hint="eastAsia" w:ascii="方正小标宋简体" w:hAnsi="华文中宋" w:eastAsia="方正小标宋简体" w:cs="华文中宋"/>
          <w:b/>
          <w:sz w:val="44"/>
          <w:szCs w:val="44"/>
        </w:rPr>
        <w:t>》修改意见的公告</w:t>
      </w: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p>
    <w:p>
      <w:pPr>
        <w:rPr>
          <w:sz w:val="44"/>
          <w:szCs w:val="44"/>
        </w:rPr>
      </w:pPr>
    </w:p>
    <w:p>
      <w:pPr>
        <w:rPr>
          <w:sz w:val="44"/>
          <w:szCs w:val="44"/>
        </w:rPr>
      </w:pPr>
    </w:p>
    <w:p>
      <w:pPr>
        <w:rPr>
          <w:sz w:val="44"/>
          <w:szCs w:val="44"/>
        </w:rPr>
      </w:pPr>
    </w:p>
    <w:p>
      <w:pPr>
        <w:jc w:val="center"/>
        <w:rPr>
          <w:rFonts w:ascii="方正小标宋简体" w:hAnsi="华文中宋" w:eastAsia="方正小标宋简体" w:cs="华文中宋"/>
          <w:b/>
          <w:sz w:val="36"/>
          <w:szCs w:val="36"/>
        </w:rPr>
      </w:pPr>
      <w:r>
        <w:rPr>
          <w:rFonts w:hint="eastAsia" w:ascii="方正小标宋简体" w:hAnsi="华文中宋" w:eastAsia="方正小标宋简体" w:cs="华文中宋"/>
          <w:b/>
          <w:sz w:val="36"/>
          <w:szCs w:val="36"/>
        </w:rPr>
        <w:t>四川一八九六智库文化传播有限公司</w:t>
      </w:r>
    </w:p>
    <w:p>
      <w:pPr>
        <w:jc w:val="center"/>
        <w:rPr>
          <w:rFonts w:ascii="方正小标宋简体" w:hAnsi="华文中宋" w:eastAsia="方正小标宋简体" w:cs="华文中宋"/>
          <w:b/>
          <w:sz w:val="36"/>
          <w:szCs w:val="36"/>
        </w:rPr>
      </w:pPr>
    </w:p>
    <w:p>
      <w:pPr>
        <w:jc w:val="center"/>
        <w:rPr>
          <w:rFonts w:ascii="方正小标宋简体" w:hAnsi="华文中宋" w:eastAsia="方正小标宋简体" w:cs="华文中宋"/>
          <w:b/>
          <w:sz w:val="36"/>
          <w:szCs w:val="36"/>
        </w:rPr>
      </w:pPr>
      <w:r>
        <w:rPr>
          <w:rFonts w:hint="eastAsia" w:ascii="方正小标宋简体" w:hAnsi="华文中宋" w:eastAsia="方正小标宋简体" w:cs="华文中宋"/>
          <w:b/>
          <w:sz w:val="36"/>
          <w:szCs w:val="36"/>
        </w:rPr>
        <w:t>2021年12月</w:t>
      </w:r>
    </w:p>
    <w:p>
      <w:pPr>
        <w:adjustRightInd w:val="0"/>
        <w:snapToGrid w:val="0"/>
        <w:spacing w:line="360" w:lineRule="auto"/>
        <w:ind w:firstLine="640" w:firstLineChars="200"/>
        <w:jc w:val="center"/>
        <w:rPr>
          <w:rFonts w:ascii="微软雅黑" w:hAnsi="微软雅黑" w:eastAsia="微软雅黑"/>
          <w:b/>
          <w:sz w:val="32"/>
          <w:szCs w:val="32"/>
        </w:rPr>
      </w:pPr>
    </w:p>
    <w:p>
      <w:pPr>
        <w:adjustRightInd w:val="0"/>
        <w:snapToGrid w:val="0"/>
        <w:spacing w:line="360" w:lineRule="auto"/>
        <w:ind w:firstLine="260" w:firstLineChars="200"/>
        <w:jc w:val="center"/>
        <w:rPr>
          <w:rFonts w:ascii="微软雅黑" w:hAnsi="微软雅黑" w:eastAsia="微软雅黑"/>
          <w:b/>
          <w:sz w:val="13"/>
          <w:szCs w:val="13"/>
        </w:rPr>
      </w:pPr>
    </w:p>
    <w:p>
      <w:pPr>
        <w:adjustRightInd w:val="0"/>
        <w:snapToGrid w:val="0"/>
        <w:spacing w:line="360" w:lineRule="auto"/>
        <w:rPr>
          <w:rFonts w:ascii="微软雅黑" w:hAnsi="微软雅黑" w:eastAsia="微软雅黑"/>
          <w:b/>
          <w:sz w:val="32"/>
          <w:szCs w:val="32"/>
        </w:rPr>
      </w:pPr>
      <w:r>
        <w:rPr>
          <w:rFonts w:ascii="微软雅黑" w:hAnsi="微软雅黑" w:eastAsia="微软雅黑"/>
          <w:b/>
          <w:sz w:val="32"/>
          <w:szCs w:val="32"/>
        </w:rPr>
        <w:drawing>
          <wp:inline distT="0" distB="0" distL="0" distR="0">
            <wp:extent cx="5542280" cy="7839075"/>
            <wp:effectExtent l="19050" t="0" r="1052" b="0"/>
            <wp:docPr id="2" name="图片 1" descr="F:\Insititutes\四川一八九六智库文化传播有限公司\公司证照\1896营业执照副本（三证合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F:\Insititutes\四川一八九六智库文化传播有限公司\公司证照\1896营业执照副本（三证合一）.jpg"/>
                    <pic:cNvPicPr>
                      <a:picLocks noChangeAspect="1" noChangeArrowheads="1"/>
                    </pic:cNvPicPr>
                  </pic:nvPicPr>
                  <pic:blipFill>
                    <a:blip r:embed="rId8"/>
                    <a:srcRect/>
                    <a:stretch>
                      <a:fillRect/>
                    </a:stretch>
                  </pic:blipFill>
                  <pic:spPr>
                    <a:xfrm>
                      <a:off x="0" y="0"/>
                      <a:ext cx="5543751" cy="7840847"/>
                    </a:xfrm>
                    <a:prstGeom prst="rect">
                      <a:avLst/>
                    </a:prstGeom>
                    <a:noFill/>
                    <a:ln w="9525">
                      <a:noFill/>
                      <a:miter lim="800000"/>
                      <a:headEnd/>
                      <a:tailEnd/>
                    </a:ln>
                  </pic:spPr>
                </pic:pic>
              </a:graphicData>
            </a:graphic>
          </wp:inline>
        </w:drawing>
      </w:r>
    </w:p>
    <w:p>
      <w:pPr>
        <w:adjustRightInd w:val="0"/>
        <w:snapToGrid w:val="0"/>
        <w:spacing w:line="360" w:lineRule="auto"/>
        <w:ind w:firstLine="640" w:firstLineChars="200"/>
        <w:jc w:val="center"/>
        <w:rPr>
          <w:rFonts w:ascii="微软雅黑" w:hAnsi="微软雅黑" w:eastAsia="微软雅黑"/>
          <w:b/>
          <w:sz w:val="32"/>
          <w:szCs w:val="32"/>
        </w:rPr>
      </w:pPr>
    </w:p>
    <w:p>
      <w:pPr>
        <w:adjustRightInd w:val="0"/>
        <w:snapToGrid w:val="0"/>
        <w:spacing w:beforeLines="50" w:afterLines="100" w:line="360" w:lineRule="auto"/>
        <w:jc w:val="center"/>
        <w:rPr>
          <w:rFonts w:ascii="黑体" w:hAnsi="黑体" w:eastAsia="黑体"/>
          <w:b/>
          <w:sz w:val="44"/>
          <w:szCs w:val="44"/>
        </w:rPr>
      </w:pPr>
      <w:r>
        <w:rPr>
          <w:rFonts w:hint="eastAsia" w:ascii="黑体" w:hAnsi="黑体" w:eastAsia="黑体"/>
          <w:b/>
          <w:sz w:val="44"/>
          <w:szCs w:val="44"/>
        </w:rPr>
        <w:t>目  录</w:t>
      </w:r>
    </w:p>
    <w:p>
      <w:pPr>
        <w:pStyle w:val="21"/>
        <w:rPr>
          <w:rFonts w:ascii="仿宋" w:hAnsi="仿宋" w:eastAsia="仿宋" w:cstheme="minorBidi"/>
          <w:b/>
          <w:sz w:val="30"/>
          <w:szCs w:val="30"/>
        </w:rPr>
      </w:pPr>
      <w:r>
        <w:rPr>
          <w:rFonts w:ascii="仿宋" w:hAnsi="仿宋" w:eastAsia="仿宋"/>
          <w:b/>
          <w:sz w:val="30"/>
          <w:szCs w:val="30"/>
        </w:rPr>
        <w:fldChar w:fldCharType="begin"/>
      </w:r>
      <w:r>
        <w:rPr>
          <w:rFonts w:ascii="仿宋" w:hAnsi="仿宋" w:eastAsia="仿宋"/>
          <w:b/>
          <w:sz w:val="30"/>
          <w:szCs w:val="30"/>
        </w:rPr>
        <w:instrText xml:space="preserve"> TOC \o "1-2" \h \z \u </w:instrText>
      </w:r>
      <w:r>
        <w:rPr>
          <w:rFonts w:ascii="仿宋" w:hAnsi="仿宋" w:eastAsia="仿宋"/>
          <w:b/>
          <w:sz w:val="30"/>
          <w:szCs w:val="30"/>
        </w:rPr>
        <w:fldChar w:fldCharType="separate"/>
      </w:r>
      <w:r>
        <w:fldChar w:fldCharType="begin"/>
      </w:r>
      <w:r>
        <w:instrText xml:space="preserve"> HYPERLINK \l "_Toc91676423" </w:instrText>
      </w:r>
      <w:r>
        <w:fldChar w:fldCharType="separate"/>
      </w:r>
      <w:r>
        <w:rPr>
          <w:rStyle w:val="36"/>
          <w:rFonts w:hint="eastAsia" w:ascii="仿宋" w:hAnsi="仿宋" w:eastAsia="仿宋"/>
          <w:b/>
          <w:sz w:val="30"/>
          <w:szCs w:val="30"/>
        </w:rPr>
        <w:t>第一章</w:t>
      </w:r>
      <w:r>
        <w:rPr>
          <w:rStyle w:val="36"/>
          <w:rFonts w:ascii="仿宋" w:hAnsi="仿宋" w:eastAsia="仿宋"/>
          <w:b/>
          <w:sz w:val="30"/>
          <w:szCs w:val="30"/>
        </w:rPr>
        <w:t xml:space="preserve">  </w:t>
      </w:r>
      <w:r>
        <w:rPr>
          <w:rStyle w:val="36"/>
          <w:rFonts w:hint="eastAsia" w:ascii="仿宋" w:hAnsi="仿宋" w:eastAsia="仿宋"/>
          <w:b/>
          <w:sz w:val="30"/>
          <w:szCs w:val="30"/>
        </w:rPr>
        <w:t>发展基础与形势</w:t>
      </w:r>
      <w:r>
        <w:rPr>
          <w:rFonts w:ascii="仿宋" w:hAnsi="仿宋" w:eastAsia="仿宋"/>
          <w:b/>
          <w:sz w:val="30"/>
          <w:szCs w:val="30"/>
        </w:rPr>
        <w:tab/>
      </w:r>
      <w:r>
        <w:rPr>
          <w:rFonts w:ascii="仿宋" w:hAnsi="仿宋" w:eastAsia="仿宋"/>
          <w:b/>
          <w:sz w:val="30"/>
          <w:szCs w:val="30"/>
        </w:rPr>
        <w:fldChar w:fldCharType="begin"/>
      </w:r>
      <w:r>
        <w:rPr>
          <w:rFonts w:ascii="仿宋" w:hAnsi="仿宋" w:eastAsia="仿宋"/>
          <w:b/>
          <w:sz w:val="30"/>
          <w:szCs w:val="30"/>
        </w:rPr>
        <w:instrText xml:space="preserve"> PAGEREF _Toc91676423 \h </w:instrText>
      </w:r>
      <w:r>
        <w:rPr>
          <w:rFonts w:ascii="仿宋" w:hAnsi="仿宋" w:eastAsia="仿宋"/>
          <w:b/>
          <w:sz w:val="30"/>
          <w:szCs w:val="30"/>
        </w:rPr>
        <w:fldChar w:fldCharType="separate"/>
      </w:r>
      <w:r>
        <w:rPr>
          <w:rFonts w:ascii="仿宋" w:hAnsi="仿宋" w:eastAsia="仿宋"/>
          <w:b/>
          <w:sz w:val="30"/>
          <w:szCs w:val="30"/>
        </w:rPr>
        <w:t>1</w:t>
      </w:r>
      <w:r>
        <w:rPr>
          <w:rFonts w:ascii="仿宋" w:hAnsi="仿宋" w:eastAsia="仿宋"/>
          <w:b/>
          <w:sz w:val="30"/>
          <w:szCs w:val="30"/>
        </w:rPr>
        <w:fldChar w:fldCharType="end"/>
      </w:r>
      <w:r>
        <w:rPr>
          <w:rFonts w:ascii="仿宋" w:hAnsi="仿宋" w:eastAsia="仿宋"/>
          <w:b/>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"_Toc91676424" </w:instrText>
      </w:r>
      <w:r>
        <w:fldChar w:fldCharType="separate"/>
      </w:r>
      <w:r>
        <w:rPr>
          <w:rStyle w:val="36"/>
          <w:rFonts w:hint="eastAsia" w:ascii="仿宋" w:hAnsi="仿宋" w:eastAsia="仿宋"/>
          <w:sz w:val="30"/>
          <w:szCs w:val="30"/>
        </w:rPr>
        <w:t>第一节</w:t>
      </w:r>
      <w:r>
        <w:rPr>
          <w:rStyle w:val="36"/>
          <w:rFonts w:ascii="仿宋" w:hAnsi="仿宋" w:eastAsia="仿宋"/>
          <w:sz w:val="30"/>
          <w:szCs w:val="30"/>
        </w:rPr>
        <w:t xml:space="preserve">  </w:t>
      </w:r>
      <w:r>
        <w:rPr>
          <w:rStyle w:val="36"/>
          <w:rFonts w:hint="eastAsia" w:ascii="仿宋" w:hAnsi="仿宋" w:eastAsia="仿宋"/>
          <w:sz w:val="30"/>
          <w:szCs w:val="30"/>
        </w:rPr>
        <w:t>“十三五”时期发展回顾</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_Toc91676424 \h </w:instrText>
      </w:r>
      <w:r>
        <w:rPr>
          <w:rFonts w:ascii="仿宋" w:hAnsi="仿宋" w:eastAsia="仿宋"/>
          <w:sz w:val="30"/>
          <w:szCs w:val="30"/>
        </w:rPr>
        <w:fldChar w:fldCharType="separate"/>
      </w:r>
      <w:r>
        <w:rPr>
          <w:rFonts w:ascii="仿宋" w:hAnsi="仿宋" w:eastAsia="仿宋"/>
          <w:sz w:val="30"/>
          <w:szCs w:val="30"/>
        </w:rPr>
        <w:t>1</w:t>
      </w:r>
      <w:r>
        <w:rPr>
          <w:rFonts w:ascii="仿宋" w:hAnsi="仿宋" w:eastAsia="仿宋"/>
          <w:sz w:val="30"/>
          <w:szCs w:val="30"/>
        </w:rPr>
        <w:fldChar w:fldCharType="end"/>
      </w:r>
      <w:r>
        <w:rPr>
          <w:rFonts w:ascii="仿宋" w:hAnsi="仿宋" w:eastAsia="仿宋"/>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"_Toc91676425" </w:instrText>
      </w:r>
      <w:r>
        <w:fldChar w:fldCharType="separate"/>
      </w:r>
      <w:r>
        <w:rPr>
          <w:rStyle w:val="36"/>
          <w:rFonts w:hint="eastAsia" w:ascii="仿宋" w:hAnsi="仿宋" w:eastAsia="仿宋"/>
          <w:sz w:val="30"/>
          <w:szCs w:val="30"/>
        </w:rPr>
        <w:t>第二节</w:t>
      </w:r>
      <w:r>
        <w:rPr>
          <w:rStyle w:val="36"/>
          <w:rFonts w:ascii="仿宋" w:hAnsi="仿宋" w:eastAsia="仿宋"/>
          <w:sz w:val="30"/>
          <w:szCs w:val="30"/>
        </w:rPr>
        <w:t xml:space="preserve">  </w:t>
      </w:r>
      <w:r>
        <w:rPr>
          <w:rStyle w:val="36"/>
          <w:rFonts w:hint="eastAsia" w:ascii="仿宋" w:hAnsi="仿宋" w:eastAsia="仿宋"/>
          <w:sz w:val="30"/>
          <w:szCs w:val="30"/>
        </w:rPr>
        <w:t>“十四五”时期发展机遇</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_Toc91676425 \h </w:instrText>
      </w:r>
      <w:r>
        <w:rPr>
          <w:rFonts w:ascii="仿宋" w:hAnsi="仿宋" w:eastAsia="仿宋"/>
          <w:sz w:val="30"/>
          <w:szCs w:val="30"/>
        </w:rPr>
        <w:fldChar w:fldCharType="separate"/>
      </w:r>
      <w:r>
        <w:rPr>
          <w:rFonts w:ascii="仿宋" w:hAnsi="仿宋" w:eastAsia="仿宋"/>
          <w:sz w:val="30"/>
          <w:szCs w:val="30"/>
        </w:rPr>
        <w:t>6</w:t>
      </w:r>
      <w:r>
        <w:rPr>
          <w:rFonts w:ascii="仿宋" w:hAnsi="仿宋" w:eastAsia="仿宋"/>
          <w:sz w:val="30"/>
          <w:szCs w:val="30"/>
        </w:rPr>
        <w:fldChar w:fldCharType="end"/>
      </w:r>
      <w:r>
        <w:rPr>
          <w:rFonts w:ascii="仿宋" w:hAnsi="仿宋" w:eastAsia="仿宋"/>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"_Toc91676426" </w:instrText>
      </w:r>
      <w:r>
        <w:fldChar w:fldCharType="separate"/>
      </w:r>
      <w:r>
        <w:rPr>
          <w:rStyle w:val="36"/>
          <w:rFonts w:hint="eastAsia" w:ascii="仿宋" w:hAnsi="仿宋" w:eastAsia="仿宋"/>
          <w:sz w:val="30"/>
          <w:szCs w:val="30"/>
        </w:rPr>
        <w:t>第三节</w:t>
      </w:r>
      <w:r>
        <w:rPr>
          <w:rStyle w:val="36"/>
          <w:rFonts w:ascii="仿宋" w:hAnsi="仿宋" w:eastAsia="仿宋"/>
          <w:sz w:val="30"/>
          <w:szCs w:val="30"/>
        </w:rPr>
        <w:t xml:space="preserve">  </w:t>
      </w:r>
      <w:r>
        <w:rPr>
          <w:rStyle w:val="36"/>
          <w:rFonts w:hint="eastAsia" w:ascii="仿宋" w:hAnsi="仿宋" w:eastAsia="仿宋"/>
          <w:sz w:val="30"/>
          <w:szCs w:val="30"/>
        </w:rPr>
        <w:t>“十四五”时期面临挑战</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_Toc91676426 \h </w:instrText>
      </w:r>
      <w:r>
        <w:rPr>
          <w:rFonts w:ascii="仿宋" w:hAnsi="仿宋" w:eastAsia="仿宋"/>
          <w:sz w:val="30"/>
          <w:szCs w:val="30"/>
        </w:rPr>
        <w:fldChar w:fldCharType="separate"/>
      </w:r>
      <w:r>
        <w:rPr>
          <w:rFonts w:ascii="仿宋" w:hAnsi="仿宋" w:eastAsia="仿宋"/>
          <w:sz w:val="30"/>
          <w:szCs w:val="30"/>
        </w:rPr>
        <w:t>9</w:t>
      </w:r>
      <w:r>
        <w:rPr>
          <w:rFonts w:ascii="仿宋" w:hAnsi="仿宋" w:eastAsia="仿宋"/>
          <w:sz w:val="30"/>
          <w:szCs w:val="30"/>
        </w:rPr>
        <w:fldChar w:fldCharType="end"/>
      </w:r>
      <w:r>
        <w:rPr>
          <w:rFonts w:ascii="仿宋" w:hAnsi="仿宋" w:eastAsia="仿宋"/>
          <w:sz w:val="30"/>
          <w:szCs w:val="30"/>
        </w:rPr>
        <w:fldChar w:fldCharType="end"/>
      </w:r>
    </w:p>
    <w:p>
      <w:pPr>
        <w:pStyle w:val="21"/>
        <w:rPr>
          <w:rFonts w:ascii="仿宋" w:hAnsi="仿宋" w:eastAsia="仿宋" w:cstheme="minorBidi"/>
          <w:b/>
          <w:sz w:val="30"/>
          <w:szCs w:val="30"/>
        </w:rPr>
      </w:pPr>
      <w:r>
        <w:fldChar w:fldCharType="begin"/>
      </w:r>
      <w:r>
        <w:instrText xml:space="preserve"> HYPERLINK \l "_Toc91676427" </w:instrText>
      </w:r>
      <w:r>
        <w:fldChar w:fldCharType="separate"/>
      </w:r>
      <w:r>
        <w:rPr>
          <w:rStyle w:val="36"/>
          <w:rFonts w:hint="eastAsia" w:ascii="仿宋" w:hAnsi="仿宋" w:eastAsia="仿宋"/>
          <w:b/>
          <w:sz w:val="30"/>
          <w:szCs w:val="30"/>
        </w:rPr>
        <w:t>第二章</w:t>
      </w:r>
      <w:r>
        <w:rPr>
          <w:rStyle w:val="36"/>
          <w:rFonts w:ascii="仿宋" w:hAnsi="仿宋" w:eastAsia="仿宋"/>
          <w:b/>
          <w:sz w:val="30"/>
          <w:szCs w:val="30"/>
        </w:rPr>
        <w:t xml:space="preserve">  </w:t>
      </w:r>
      <w:r>
        <w:rPr>
          <w:rStyle w:val="36"/>
          <w:rFonts w:hint="eastAsia" w:ascii="仿宋" w:hAnsi="仿宋" w:eastAsia="仿宋"/>
          <w:b/>
          <w:sz w:val="30"/>
          <w:szCs w:val="30"/>
        </w:rPr>
        <w:t>总体要求</w:t>
      </w:r>
      <w:r>
        <w:rPr>
          <w:rFonts w:ascii="仿宋" w:hAnsi="仿宋" w:eastAsia="仿宋"/>
          <w:b/>
          <w:sz w:val="30"/>
          <w:szCs w:val="30"/>
        </w:rPr>
        <w:tab/>
      </w:r>
      <w:r>
        <w:rPr>
          <w:rFonts w:ascii="仿宋" w:hAnsi="仿宋" w:eastAsia="仿宋"/>
          <w:b/>
          <w:sz w:val="30"/>
          <w:szCs w:val="30"/>
        </w:rPr>
        <w:fldChar w:fldCharType="begin"/>
      </w:r>
      <w:r>
        <w:rPr>
          <w:rFonts w:ascii="仿宋" w:hAnsi="仿宋" w:eastAsia="仿宋"/>
          <w:b/>
          <w:sz w:val="30"/>
          <w:szCs w:val="30"/>
        </w:rPr>
        <w:instrText xml:space="preserve"> PAGEREF _Toc91676427 \h </w:instrText>
      </w:r>
      <w:r>
        <w:rPr>
          <w:rFonts w:ascii="仿宋" w:hAnsi="仿宋" w:eastAsia="仿宋"/>
          <w:b/>
          <w:sz w:val="30"/>
          <w:szCs w:val="30"/>
        </w:rPr>
        <w:fldChar w:fldCharType="separate"/>
      </w:r>
      <w:r>
        <w:rPr>
          <w:rFonts w:ascii="仿宋" w:hAnsi="仿宋" w:eastAsia="仿宋"/>
          <w:b/>
          <w:sz w:val="30"/>
          <w:szCs w:val="30"/>
        </w:rPr>
        <w:t>11</w:t>
      </w:r>
      <w:r>
        <w:rPr>
          <w:rFonts w:ascii="仿宋" w:hAnsi="仿宋" w:eastAsia="仿宋"/>
          <w:b/>
          <w:sz w:val="30"/>
          <w:szCs w:val="30"/>
        </w:rPr>
        <w:fldChar w:fldCharType="end"/>
      </w:r>
      <w:r>
        <w:rPr>
          <w:rFonts w:ascii="仿宋" w:hAnsi="仿宋" w:eastAsia="仿宋"/>
          <w:b/>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"_Toc91676428" </w:instrText>
      </w:r>
      <w:r>
        <w:fldChar w:fldCharType="separate"/>
      </w:r>
      <w:r>
        <w:rPr>
          <w:rStyle w:val="36"/>
          <w:rFonts w:hint="eastAsia" w:ascii="仿宋" w:hAnsi="仿宋" w:eastAsia="仿宋"/>
          <w:sz w:val="30"/>
          <w:szCs w:val="30"/>
        </w:rPr>
        <w:t>第一节</w:t>
      </w:r>
      <w:r>
        <w:rPr>
          <w:rStyle w:val="36"/>
          <w:rFonts w:ascii="仿宋" w:hAnsi="仿宋" w:eastAsia="仿宋"/>
          <w:sz w:val="30"/>
          <w:szCs w:val="30"/>
        </w:rPr>
        <w:t xml:space="preserve">  </w:t>
      </w:r>
      <w:r>
        <w:rPr>
          <w:rStyle w:val="36"/>
          <w:rFonts w:hint="eastAsia" w:ascii="仿宋" w:hAnsi="仿宋" w:eastAsia="仿宋"/>
          <w:sz w:val="30"/>
          <w:szCs w:val="30"/>
        </w:rPr>
        <w:t>指导思想</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_Toc91676428 \h </w:instrText>
      </w:r>
      <w:r>
        <w:rPr>
          <w:rFonts w:ascii="仿宋" w:hAnsi="仿宋" w:eastAsia="仿宋"/>
          <w:sz w:val="30"/>
          <w:szCs w:val="30"/>
        </w:rPr>
        <w:fldChar w:fldCharType="separate"/>
      </w:r>
      <w:r>
        <w:rPr>
          <w:rFonts w:ascii="仿宋" w:hAnsi="仿宋" w:eastAsia="仿宋"/>
          <w:sz w:val="30"/>
          <w:szCs w:val="30"/>
        </w:rPr>
        <w:t>11</w:t>
      </w:r>
      <w:r>
        <w:rPr>
          <w:rFonts w:ascii="仿宋" w:hAnsi="仿宋" w:eastAsia="仿宋"/>
          <w:sz w:val="30"/>
          <w:szCs w:val="30"/>
        </w:rPr>
        <w:fldChar w:fldCharType="end"/>
      </w:r>
      <w:r>
        <w:rPr>
          <w:rFonts w:ascii="仿宋" w:hAnsi="仿宋" w:eastAsia="仿宋"/>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"_Toc91676429" </w:instrText>
      </w:r>
      <w:r>
        <w:fldChar w:fldCharType="separate"/>
      </w:r>
      <w:r>
        <w:rPr>
          <w:rStyle w:val="36"/>
          <w:rFonts w:hint="eastAsia" w:ascii="仿宋" w:hAnsi="仿宋" w:eastAsia="仿宋"/>
          <w:sz w:val="30"/>
          <w:szCs w:val="30"/>
        </w:rPr>
        <w:t>第二节</w:t>
      </w:r>
      <w:r>
        <w:rPr>
          <w:rStyle w:val="36"/>
          <w:rFonts w:ascii="仿宋" w:hAnsi="仿宋" w:eastAsia="仿宋"/>
          <w:sz w:val="30"/>
          <w:szCs w:val="30"/>
        </w:rPr>
        <w:t xml:space="preserve">  </w:t>
      </w:r>
      <w:r>
        <w:rPr>
          <w:rStyle w:val="36"/>
          <w:rFonts w:hint="eastAsia" w:ascii="仿宋" w:hAnsi="仿宋" w:eastAsia="仿宋"/>
          <w:sz w:val="30"/>
          <w:szCs w:val="30"/>
        </w:rPr>
        <w:t>基本原则</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_Toc91676429 \h </w:instrText>
      </w:r>
      <w:r>
        <w:rPr>
          <w:rFonts w:ascii="仿宋" w:hAnsi="仿宋" w:eastAsia="仿宋"/>
          <w:sz w:val="30"/>
          <w:szCs w:val="30"/>
        </w:rPr>
        <w:fldChar w:fldCharType="separate"/>
      </w:r>
      <w:r>
        <w:rPr>
          <w:rFonts w:ascii="仿宋" w:hAnsi="仿宋" w:eastAsia="仿宋"/>
          <w:sz w:val="30"/>
          <w:szCs w:val="30"/>
        </w:rPr>
        <w:t>11</w:t>
      </w:r>
      <w:r>
        <w:rPr>
          <w:rFonts w:ascii="仿宋" w:hAnsi="仿宋" w:eastAsia="仿宋"/>
          <w:sz w:val="30"/>
          <w:szCs w:val="30"/>
        </w:rPr>
        <w:fldChar w:fldCharType="end"/>
      </w:r>
      <w:r>
        <w:rPr>
          <w:rFonts w:ascii="仿宋" w:hAnsi="仿宋" w:eastAsia="仿宋"/>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"_Toc91676430" </w:instrText>
      </w:r>
      <w:r>
        <w:fldChar w:fldCharType="separate"/>
      </w:r>
      <w:r>
        <w:rPr>
          <w:rStyle w:val="36"/>
          <w:rFonts w:hint="eastAsia" w:ascii="仿宋" w:hAnsi="仿宋" w:eastAsia="仿宋"/>
          <w:sz w:val="30"/>
          <w:szCs w:val="30"/>
        </w:rPr>
        <w:t>第三节</w:t>
      </w:r>
      <w:r>
        <w:rPr>
          <w:rStyle w:val="36"/>
          <w:rFonts w:ascii="仿宋" w:hAnsi="仿宋" w:eastAsia="仿宋"/>
          <w:sz w:val="30"/>
          <w:szCs w:val="30"/>
        </w:rPr>
        <w:t xml:space="preserve">  </w:t>
      </w:r>
      <w:r>
        <w:rPr>
          <w:rStyle w:val="36"/>
          <w:rFonts w:hint="eastAsia" w:ascii="仿宋" w:hAnsi="仿宋" w:eastAsia="仿宋"/>
          <w:sz w:val="30"/>
          <w:szCs w:val="30"/>
        </w:rPr>
        <w:t>产业定位</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_Toc91676430 \h </w:instrText>
      </w:r>
      <w:r>
        <w:rPr>
          <w:rFonts w:ascii="仿宋" w:hAnsi="仿宋" w:eastAsia="仿宋"/>
          <w:sz w:val="30"/>
          <w:szCs w:val="30"/>
        </w:rPr>
        <w:fldChar w:fldCharType="separate"/>
      </w:r>
      <w:r>
        <w:rPr>
          <w:rFonts w:ascii="仿宋" w:hAnsi="仿宋" w:eastAsia="仿宋"/>
          <w:sz w:val="30"/>
          <w:szCs w:val="30"/>
        </w:rPr>
        <w:t>12</w:t>
      </w:r>
      <w:r>
        <w:rPr>
          <w:rFonts w:ascii="仿宋" w:hAnsi="仿宋" w:eastAsia="仿宋"/>
          <w:sz w:val="30"/>
          <w:szCs w:val="30"/>
        </w:rPr>
        <w:fldChar w:fldCharType="end"/>
      </w:r>
      <w:r>
        <w:rPr>
          <w:rFonts w:ascii="仿宋" w:hAnsi="仿宋" w:eastAsia="仿宋"/>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"_Toc91676431" </w:instrText>
      </w:r>
      <w:r>
        <w:fldChar w:fldCharType="separate"/>
      </w:r>
      <w:r>
        <w:rPr>
          <w:rStyle w:val="36"/>
          <w:rFonts w:hint="eastAsia" w:ascii="仿宋" w:hAnsi="仿宋" w:eastAsia="仿宋"/>
          <w:sz w:val="30"/>
          <w:szCs w:val="30"/>
        </w:rPr>
        <w:t>第四节</w:t>
      </w:r>
      <w:r>
        <w:rPr>
          <w:rStyle w:val="36"/>
          <w:rFonts w:ascii="仿宋" w:hAnsi="仿宋" w:eastAsia="仿宋"/>
          <w:sz w:val="30"/>
          <w:szCs w:val="30"/>
        </w:rPr>
        <w:t xml:space="preserve">  </w:t>
      </w:r>
      <w:r>
        <w:rPr>
          <w:rStyle w:val="36"/>
          <w:rFonts w:hint="eastAsia" w:ascii="仿宋" w:hAnsi="仿宋" w:eastAsia="仿宋"/>
          <w:sz w:val="30"/>
          <w:szCs w:val="30"/>
        </w:rPr>
        <w:t>发展目标</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_Toc91676431 \h </w:instrText>
      </w:r>
      <w:r>
        <w:rPr>
          <w:rFonts w:ascii="仿宋" w:hAnsi="仿宋" w:eastAsia="仿宋"/>
          <w:sz w:val="30"/>
          <w:szCs w:val="30"/>
        </w:rPr>
        <w:fldChar w:fldCharType="separate"/>
      </w:r>
      <w:r>
        <w:rPr>
          <w:rFonts w:ascii="仿宋" w:hAnsi="仿宋" w:eastAsia="仿宋"/>
          <w:sz w:val="30"/>
          <w:szCs w:val="30"/>
        </w:rPr>
        <w:t>13</w:t>
      </w:r>
      <w:r>
        <w:rPr>
          <w:rFonts w:ascii="仿宋" w:hAnsi="仿宋" w:eastAsia="仿宋"/>
          <w:sz w:val="30"/>
          <w:szCs w:val="30"/>
        </w:rPr>
        <w:fldChar w:fldCharType="end"/>
      </w:r>
      <w:r>
        <w:rPr>
          <w:rFonts w:ascii="仿宋" w:hAnsi="仿宋" w:eastAsia="仿宋"/>
          <w:sz w:val="30"/>
          <w:szCs w:val="30"/>
        </w:rPr>
        <w:fldChar w:fldCharType="end"/>
      </w:r>
    </w:p>
    <w:p>
      <w:pPr>
        <w:pStyle w:val="21"/>
        <w:rPr>
          <w:rFonts w:ascii="仿宋" w:hAnsi="仿宋" w:eastAsia="仿宋" w:cstheme="minorBidi"/>
          <w:b/>
          <w:sz w:val="30"/>
          <w:szCs w:val="30"/>
        </w:rPr>
      </w:pPr>
      <w:r>
        <w:fldChar w:fldCharType="begin"/>
      </w:r>
      <w:r>
        <w:instrText xml:space="preserve"> HYPERLINK \l "_Toc91676432" </w:instrText>
      </w:r>
      <w:r>
        <w:fldChar w:fldCharType="separate"/>
      </w:r>
      <w:r>
        <w:rPr>
          <w:rStyle w:val="36"/>
          <w:rFonts w:hint="eastAsia" w:ascii="仿宋" w:hAnsi="仿宋" w:eastAsia="仿宋"/>
          <w:b/>
          <w:sz w:val="30"/>
          <w:szCs w:val="30"/>
        </w:rPr>
        <w:t>第三章</w:t>
      </w:r>
      <w:r>
        <w:rPr>
          <w:rStyle w:val="36"/>
          <w:rFonts w:ascii="仿宋" w:hAnsi="仿宋" w:eastAsia="仿宋"/>
          <w:b/>
          <w:sz w:val="30"/>
          <w:szCs w:val="30"/>
        </w:rPr>
        <w:t xml:space="preserve">  </w:t>
      </w:r>
      <w:r>
        <w:rPr>
          <w:rStyle w:val="36"/>
          <w:rFonts w:hint="eastAsia" w:ascii="仿宋" w:hAnsi="仿宋" w:eastAsia="仿宋"/>
          <w:b/>
          <w:sz w:val="30"/>
          <w:szCs w:val="30"/>
        </w:rPr>
        <w:t>空间布局</w:t>
      </w:r>
      <w:r>
        <w:rPr>
          <w:rFonts w:ascii="仿宋" w:hAnsi="仿宋" w:eastAsia="仿宋"/>
          <w:b/>
          <w:sz w:val="30"/>
          <w:szCs w:val="30"/>
        </w:rPr>
        <w:tab/>
      </w:r>
      <w:r>
        <w:rPr>
          <w:rFonts w:ascii="仿宋" w:hAnsi="仿宋" w:eastAsia="仿宋"/>
          <w:b/>
          <w:sz w:val="30"/>
          <w:szCs w:val="30"/>
        </w:rPr>
        <w:fldChar w:fldCharType="begin"/>
      </w:r>
      <w:r>
        <w:rPr>
          <w:rFonts w:ascii="仿宋" w:hAnsi="仿宋" w:eastAsia="仿宋"/>
          <w:b/>
          <w:sz w:val="30"/>
          <w:szCs w:val="30"/>
        </w:rPr>
        <w:instrText xml:space="preserve"> PAGEREF _Toc91676432 \h </w:instrText>
      </w:r>
      <w:r>
        <w:rPr>
          <w:rFonts w:ascii="仿宋" w:hAnsi="仿宋" w:eastAsia="仿宋"/>
          <w:b/>
          <w:sz w:val="30"/>
          <w:szCs w:val="30"/>
        </w:rPr>
        <w:fldChar w:fldCharType="separate"/>
      </w:r>
      <w:r>
        <w:rPr>
          <w:rFonts w:ascii="仿宋" w:hAnsi="仿宋" w:eastAsia="仿宋"/>
          <w:b/>
          <w:sz w:val="30"/>
          <w:szCs w:val="30"/>
        </w:rPr>
        <w:t>17</w:t>
      </w:r>
      <w:r>
        <w:rPr>
          <w:rFonts w:ascii="仿宋" w:hAnsi="仿宋" w:eastAsia="仿宋"/>
          <w:b/>
          <w:sz w:val="30"/>
          <w:szCs w:val="30"/>
        </w:rPr>
        <w:fldChar w:fldCharType="end"/>
      </w:r>
      <w:r>
        <w:rPr>
          <w:rFonts w:ascii="仿宋" w:hAnsi="仿宋" w:eastAsia="仿宋"/>
          <w:b/>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"_Toc91676433" </w:instrText>
      </w:r>
      <w:r>
        <w:fldChar w:fldCharType="separate"/>
      </w:r>
      <w:r>
        <w:rPr>
          <w:rStyle w:val="36"/>
          <w:rFonts w:hint="eastAsia" w:ascii="仿宋" w:hAnsi="仿宋" w:eastAsia="仿宋"/>
          <w:sz w:val="30"/>
          <w:szCs w:val="30"/>
        </w:rPr>
        <w:t>第一节</w:t>
      </w:r>
      <w:r>
        <w:rPr>
          <w:rStyle w:val="36"/>
          <w:rFonts w:ascii="仿宋" w:hAnsi="仿宋" w:eastAsia="仿宋"/>
          <w:sz w:val="30"/>
          <w:szCs w:val="30"/>
        </w:rPr>
        <w:t xml:space="preserve">  </w:t>
      </w:r>
      <w:r>
        <w:rPr>
          <w:rStyle w:val="36"/>
          <w:rFonts w:hint="eastAsia" w:ascii="仿宋" w:hAnsi="仿宋" w:eastAsia="仿宋"/>
          <w:sz w:val="30"/>
          <w:szCs w:val="30"/>
        </w:rPr>
        <w:t>总体布局</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_Toc91676433 \h </w:instrText>
      </w:r>
      <w:r>
        <w:rPr>
          <w:rFonts w:ascii="仿宋" w:hAnsi="仿宋" w:eastAsia="仿宋"/>
          <w:sz w:val="30"/>
          <w:szCs w:val="30"/>
        </w:rPr>
        <w:fldChar w:fldCharType="separate"/>
      </w:r>
      <w:r>
        <w:rPr>
          <w:rFonts w:ascii="仿宋" w:hAnsi="仿宋" w:eastAsia="仿宋"/>
          <w:sz w:val="30"/>
          <w:szCs w:val="30"/>
        </w:rPr>
        <w:t>17</w:t>
      </w:r>
      <w:r>
        <w:rPr>
          <w:rFonts w:ascii="仿宋" w:hAnsi="仿宋" w:eastAsia="仿宋"/>
          <w:sz w:val="30"/>
          <w:szCs w:val="30"/>
        </w:rPr>
        <w:fldChar w:fldCharType="end"/>
      </w:r>
      <w:r>
        <w:rPr>
          <w:rFonts w:ascii="仿宋" w:hAnsi="仿宋" w:eastAsia="仿宋"/>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"_Toc91676434" </w:instrText>
      </w:r>
      <w:r>
        <w:fldChar w:fldCharType="separate"/>
      </w:r>
      <w:r>
        <w:rPr>
          <w:rStyle w:val="36"/>
          <w:rFonts w:hint="eastAsia" w:ascii="仿宋" w:hAnsi="仿宋" w:eastAsia="仿宋"/>
          <w:sz w:val="30"/>
          <w:szCs w:val="30"/>
        </w:rPr>
        <w:t>第二节</w:t>
      </w:r>
      <w:r>
        <w:rPr>
          <w:rStyle w:val="36"/>
          <w:rFonts w:ascii="仿宋" w:hAnsi="仿宋" w:eastAsia="仿宋"/>
          <w:sz w:val="30"/>
          <w:szCs w:val="30"/>
        </w:rPr>
        <w:t xml:space="preserve">  </w:t>
      </w:r>
      <w:r>
        <w:rPr>
          <w:rStyle w:val="36"/>
          <w:rFonts w:hint="eastAsia" w:ascii="仿宋" w:hAnsi="仿宋" w:eastAsia="仿宋"/>
          <w:sz w:val="30"/>
          <w:szCs w:val="30"/>
        </w:rPr>
        <w:t>功能分区</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_Toc91676434 \h </w:instrText>
      </w:r>
      <w:r>
        <w:rPr>
          <w:rFonts w:ascii="仿宋" w:hAnsi="仿宋" w:eastAsia="仿宋"/>
          <w:sz w:val="30"/>
          <w:szCs w:val="30"/>
        </w:rPr>
        <w:fldChar w:fldCharType="separate"/>
      </w:r>
      <w:r>
        <w:rPr>
          <w:rFonts w:ascii="仿宋" w:hAnsi="仿宋" w:eastAsia="仿宋"/>
          <w:sz w:val="30"/>
          <w:szCs w:val="30"/>
        </w:rPr>
        <w:t>18</w:t>
      </w:r>
      <w:r>
        <w:rPr>
          <w:rFonts w:ascii="仿宋" w:hAnsi="仿宋" w:eastAsia="仿宋"/>
          <w:sz w:val="30"/>
          <w:szCs w:val="30"/>
        </w:rPr>
        <w:fldChar w:fldCharType="end"/>
      </w:r>
      <w:r>
        <w:rPr>
          <w:rFonts w:ascii="仿宋" w:hAnsi="仿宋" w:eastAsia="仿宋"/>
          <w:sz w:val="30"/>
          <w:szCs w:val="30"/>
        </w:rPr>
        <w:fldChar w:fldCharType="end"/>
      </w:r>
    </w:p>
    <w:p>
      <w:pPr>
        <w:pStyle w:val="21"/>
        <w:rPr>
          <w:rFonts w:ascii="仿宋" w:hAnsi="仿宋" w:eastAsia="仿宋" w:cstheme="minorBidi"/>
          <w:b/>
          <w:sz w:val="30"/>
          <w:szCs w:val="30"/>
        </w:rPr>
      </w:pPr>
      <w:r>
        <w:fldChar w:fldCharType="begin"/>
      </w:r>
      <w:r>
        <w:instrText xml:space="preserve"> HYPERLINK \l "_Toc91676435" </w:instrText>
      </w:r>
      <w:r>
        <w:fldChar w:fldCharType="separate"/>
      </w:r>
      <w:r>
        <w:rPr>
          <w:rStyle w:val="36"/>
          <w:rFonts w:hint="eastAsia" w:ascii="仿宋" w:hAnsi="仿宋" w:eastAsia="仿宋"/>
          <w:b/>
          <w:sz w:val="30"/>
          <w:szCs w:val="30"/>
        </w:rPr>
        <w:t>第四章</w:t>
      </w:r>
      <w:r>
        <w:rPr>
          <w:rStyle w:val="36"/>
          <w:rFonts w:ascii="仿宋" w:hAnsi="仿宋" w:eastAsia="仿宋"/>
          <w:b/>
          <w:sz w:val="30"/>
          <w:szCs w:val="30"/>
        </w:rPr>
        <w:t xml:space="preserve">  </w:t>
      </w:r>
      <w:r>
        <w:rPr>
          <w:rStyle w:val="36"/>
          <w:rFonts w:hint="eastAsia" w:ascii="仿宋" w:hAnsi="仿宋" w:eastAsia="仿宋"/>
          <w:b/>
          <w:sz w:val="30"/>
          <w:szCs w:val="30"/>
        </w:rPr>
        <w:t>产业发展重点</w:t>
      </w:r>
      <w:r>
        <w:rPr>
          <w:rFonts w:ascii="仿宋" w:hAnsi="仿宋" w:eastAsia="仿宋"/>
          <w:b/>
          <w:sz w:val="30"/>
          <w:szCs w:val="30"/>
        </w:rPr>
        <w:tab/>
      </w:r>
      <w:r>
        <w:rPr>
          <w:rFonts w:ascii="仿宋" w:hAnsi="仿宋" w:eastAsia="仿宋"/>
          <w:b/>
          <w:sz w:val="30"/>
          <w:szCs w:val="30"/>
        </w:rPr>
        <w:fldChar w:fldCharType="begin"/>
      </w:r>
      <w:r>
        <w:rPr>
          <w:rFonts w:ascii="仿宋" w:hAnsi="仿宋" w:eastAsia="仿宋"/>
          <w:b/>
          <w:sz w:val="30"/>
          <w:szCs w:val="30"/>
        </w:rPr>
        <w:instrText xml:space="preserve"> PAGEREF _Toc91676435 \h </w:instrText>
      </w:r>
      <w:r>
        <w:rPr>
          <w:rFonts w:ascii="仿宋" w:hAnsi="仿宋" w:eastAsia="仿宋"/>
          <w:b/>
          <w:sz w:val="30"/>
          <w:szCs w:val="30"/>
        </w:rPr>
        <w:fldChar w:fldCharType="separate"/>
      </w:r>
      <w:r>
        <w:rPr>
          <w:rFonts w:ascii="仿宋" w:hAnsi="仿宋" w:eastAsia="仿宋"/>
          <w:b/>
          <w:sz w:val="30"/>
          <w:szCs w:val="30"/>
        </w:rPr>
        <w:t>21</w:t>
      </w:r>
      <w:r>
        <w:rPr>
          <w:rFonts w:ascii="仿宋" w:hAnsi="仿宋" w:eastAsia="仿宋"/>
          <w:b/>
          <w:sz w:val="30"/>
          <w:szCs w:val="30"/>
        </w:rPr>
        <w:fldChar w:fldCharType="end"/>
      </w:r>
      <w:r>
        <w:rPr>
          <w:rFonts w:ascii="仿宋" w:hAnsi="仿宋" w:eastAsia="仿宋"/>
          <w:b/>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"_Toc91676436" </w:instrText>
      </w:r>
      <w:r>
        <w:fldChar w:fldCharType="separate"/>
      </w:r>
      <w:r>
        <w:rPr>
          <w:rStyle w:val="36"/>
          <w:rFonts w:hint="eastAsia" w:ascii="仿宋" w:hAnsi="仿宋" w:eastAsia="仿宋"/>
          <w:sz w:val="30"/>
          <w:szCs w:val="30"/>
        </w:rPr>
        <w:t>第一节</w:t>
      </w:r>
      <w:r>
        <w:rPr>
          <w:rStyle w:val="36"/>
          <w:rFonts w:ascii="仿宋" w:hAnsi="仿宋" w:eastAsia="仿宋"/>
          <w:sz w:val="30"/>
          <w:szCs w:val="30"/>
        </w:rPr>
        <w:t xml:space="preserve">  </w:t>
      </w:r>
      <w:r>
        <w:rPr>
          <w:rStyle w:val="36"/>
          <w:rFonts w:hint="eastAsia" w:ascii="仿宋" w:hAnsi="仿宋" w:eastAsia="仿宋"/>
          <w:sz w:val="30"/>
          <w:szCs w:val="30"/>
        </w:rPr>
        <w:t>做大做强绿色化工产业</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_Toc91676436 \h </w:instrText>
      </w:r>
      <w:r>
        <w:rPr>
          <w:rFonts w:ascii="仿宋" w:hAnsi="仿宋" w:eastAsia="仿宋"/>
          <w:sz w:val="30"/>
          <w:szCs w:val="30"/>
        </w:rPr>
        <w:fldChar w:fldCharType="separate"/>
      </w:r>
      <w:r>
        <w:rPr>
          <w:rFonts w:ascii="仿宋" w:hAnsi="仿宋" w:eastAsia="仿宋"/>
          <w:sz w:val="30"/>
          <w:szCs w:val="30"/>
        </w:rPr>
        <w:t>21</w:t>
      </w:r>
      <w:r>
        <w:rPr>
          <w:rFonts w:ascii="仿宋" w:hAnsi="仿宋" w:eastAsia="仿宋"/>
          <w:sz w:val="30"/>
          <w:szCs w:val="30"/>
        </w:rPr>
        <w:fldChar w:fldCharType="end"/>
      </w:r>
      <w:r>
        <w:rPr>
          <w:rFonts w:ascii="仿宋" w:hAnsi="仿宋" w:eastAsia="仿宋"/>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"_Toc91676437" </w:instrText>
      </w:r>
      <w:r>
        <w:fldChar w:fldCharType="separate"/>
      </w:r>
      <w:r>
        <w:rPr>
          <w:rStyle w:val="36"/>
          <w:rFonts w:hint="eastAsia" w:ascii="仿宋" w:hAnsi="仿宋" w:eastAsia="仿宋"/>
          <w:sz w:val="30"/>
          <w:szCs w:val="30"/>
        </w:rPr>
        <w:t>第二节</w:t>
      </w:r>
      <w:r>
        <w:rPr>
          <w:rStyle w:val="36"/>
          <w:rFonts w:ascii="仿宋" w:hAnsi="仿宋" w:eastAsia="仿宋"/>
          <w:sz w:val="30"/>
          <w:szCs w:val="30"/>
        </w:rPr>
        <w:t xml:space="preserve">  </w:t>
      </w:r>
      <w:r>
        <w:rPr>
          <w:rStyle w:val="36"/>
          <w:rFonts w:hint="eastAsia" w:ascii="仿宋" w:hAnsi="仿宋" w:eastAsia="仿宋"/>
          <w:sz w:val="30"/>
          <w:szCs w:val="30"/>
        </w:rPr>
        <w:t>提质增效酿酒产业</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_Toc91676437 \h </w:instrText>
      </w:r>
      <w:r>
        <w:rPr>
          <w:rFonts w:ascii="仿宋" w:hAnsi="仿宋" w:eastAsia="仿宋"/>
          <w:sz w:val="30"/>
          <w:szCs w:val="30"/>
        </w:rPr>
        <w:fldChar w:fldCharType="separate"/>
      </w:r>
      <w:r>
        <w:rPr>
          <w:rFonts w:ascii="仿宋" w:hAnsi="仿宋" w:eastAsia="仿宋"/>
          <w:sz w:val="30"/>
          <w:szCs w:val="30"/>
        </w:rPr>
        <w:t>34</w:t>
      </w:r>
      <w:r>
        <w:rPr>
          <w:rFonts w:ascii="仿宋" w:hAnsi="仿宋" w:eastAsia="仿宋"/>
          <w:sz w:val="30"/>
          <w:szCs w:val="30"/>
        </w:rPr>
        <w:fldChar w:fldCharType="end"/>
      </w:r>
      <w:r>
        <w:rPr>
          <w:rFonts w:ascii="仿宋" w:hAnsi="仿宋" w:eastAsia="仿宋"/>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"_Toc91676438" </w:instrText>
      </w:r>
      <w:r>
        <w:fldChar w:fldCharType="separate"/>
      </w:r>
      <w:r>
        <w:rPr>
          <w:rStyle w:val="36"/>
          <w:rFonts w:hint="eastAsia" w:ascii="仿宋" w:hAnsi="仿宋" w:eastAsia="仿宋"/>
          <w:sz w:val="30"/>
          <w:szCs w:val="30"/>
        </w:rPr>
        <w:t>第三节</w:t>
      </w:r>
      <w:r>
        <w:rPr>
          <w:rStyle w:val="36"/>
          <w:rFonts w:ascii="仿宋" w:hAnsi="仿宋" w:eastAsia="仿宋"/>
          <w:sz w:val="30"/>
          <w:szCs w:val="30"/>
        </w:rPr>
        <w:t xml:space="preserve">  </w:t>
      </w:r>
      <w:r>
        <w:rPr>
          <w:rStyle w:val="36"/>
          <w:rFonts w:hint="eastAsia" w:ascii="仿宋" w:hAnsi="仿宋" w:eastAsia="仿宋"/>
          <w:sz w:val="30"/>
          <w:szCs w:val="30"/>
        </w:rPr>
        <w:t>大力发展新材料产业</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_Toc91676438 \h </w:instrText>
      </w:r>
      <w:r>
        <w:rPr>
          <w:rFonts w:ascii="仿宋" w:hAnsi="仿宋" w:eastAsia="仿宋"/>
          <w:sz w:val="30"/>
          <w:szCs w:val="30"/>
        </w:rPr>
        <w:fldChar w:fldCharType="separate"/>
      </w:r>
      <w:r>
        <w:rPr>
          <w:rFonts w:ascii="仿宋" w:hAnsi="仿宋" w:eastAsia="仿宋"/>
          <w:sz w:val="30"/>
          <w:szCs w:val="30"/>
        </w:rPr>
        <w:t>38</w:t>
      </w:r>
      <w:r>
        <w:rPr>
          <w:rFonts w:ascii="仿宋" w:hAnsi="仿宋" w:eastAsia="仿宋"/>
          <w:sz w:val="30"/>
          <w:szCs w:val="30"/>
        </w:rPr>
        <w:fldChar w:fldCharType="end"/>
      </w:r>
      <w:r>
        <w:rPr>
          <w:rFonts w:ascii="仿宋" w:hAnsi="仿宋" w:eastAsia="仿宋"/>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"_Toc91676439" </w:instrText>
      </w:r>
      <w:r>
        <w:fldChar w:fldCharType="separate"/>
      </w:r>
      <w:r>
        <w:rPr>
          <w:rStyle w:val="36"/>
          <w:rFonts w:hint="eastAsia" w:ascii="仿宋" w:hAnsi="仿宋" w:eastAsia="仿宋"/>
          <w:sz w:val="30"/>
          <w:szCs w:val="30"/>
        </w:rPr>
        <w:t>第四节</w:t>
      </w:r>
      <w:r>
        <w:rPr>
          <w:rStyle w:val="36"/>
          <w:rFonts w:ascii="仿宋" w:hAnsi="仿宋" w:eastAsia="仿宋"/>
          <w:sz w:val="30"/>
          <w:szCs w:val="30"/>
        </w:rPr>
        <w:t xml:space="preserve">  </w:t>
      </w:r>
      <w:r>
        <w:rPr>
          <w:rStyle w:val="36"/>
          <w:rFonts w:hint="eastAsia" w:ascii="仿宋" w:hAnsi="仿宋" w:eastAsia="仿宋"/>
          <w:sz w:val="30"/>
          <w:szCs w:val="30"/>
        </w:rPr>
        <w:t>提升发展装备制造产业</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_Toc91676439 \h </w:instrText>
      </w:r>
      <w:r>
        <w:rPr>
          <w:rFonts w:ascii="仿宋" w:hAnsi="仿宋" w:eastAsia="仿宋"/>
          <w:sz w:val="30"/>
          <w:szCs w:val="30"/>
        </w:rPr>
        <w:fldChar w:fldCharType="separate"/>
      </w:r>
      <w:r>
        <w:rPr>
          <w:rFonts w:ascii="仿宋" w:hAnsi="仿宋" w:eastAsia="仿宋"/>
          <w:sz w:val="30"/>
          <w:szCs w:val="30"/>
        </w:rPr>
        <w:t>43</w:t>
      </w:r>
      <w:r>
        <w:rPr>
          <w:rFonts w:ascii="仿宋" w:hAnsi="仿宋" w:eastAsia="仿宋"/>
          <w:sz w:val="30"/>
          <w:szCs w:val="30"/>
        </w:rPr>
        <w:fldChar w:fldCharType="end"/>
      </w:r>
      <w:r>
        <w:rPr>
          <w:rFonts w:ascii="仿宋" w:hAnsi="仿宋" w:eastAsia="仿宋"/>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"_Toc91676440" </w:instrText>
      </w:r>
      <w:r>
        <w:fldChar w:fldCharType="separate"/>
      </w:r>
      <w:r>
        <w:rPr>
          <w:rStyle w:val="36"/>
          <w:rFonts w:hint="eastAsia" w:ascii="仿宋" w:hAnsi="仿宋" w:eastAsia="仿宋"/>
          <w:sz w:val="30"/>
          <w:szCs w:val="30"/>
        </w:rPr>
        <w:t>第五节</w:t>
      </w:r>
      <w:r>
        <w:rPr>
          <w:rStyle w:val="36"/>
          <w:rFonts w:ascii="仿宋" w:hAnsi="仿宋" w:eastAsia="仿宋"/>
          <w:sz w:val="30"/>
          <w:szCs w:val="30"/>
        </w:rPr>
        <w:t xml:space="preserve">  </w:t>
      </w:r>
      <w:r>
        <w:rPr>
          <w:rStyle w:val="36"/>
          <w:rFonts w:hint="eastAsia" w:ascii="仿宋" w:hAnsi="仿宋" w:eastAsia="仿宋"/>
          <w:sz w:val="30"/>
          <w:szCs w:val="30"/>
        </w:rPr>
        <w:t>积极发展电子信息产业</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_Toc91676440 \h </w:instrText>
      </w:r>
      <w:r>
        <w:rPr>
          <w:rFonts w:ascii="仿宋" w:hAnsi="仿宋" w:eastAsia="仿宋"/>
          <w:sz w:val="30"/>
          <w:szCs w:val="30"/>
        </w:rPr>
        <w:fldChar w:fldCharType="separate"/>
      </w:r>
      <w:r>
        <w:rPr>
          <w:rFonts w:ascii="仿宋" w:hAnsi="仿宋" w:eastAsia="仿宋"/>
          <w:sz w:val="30"/>
          <w:szCs w:val="30"/>
        </w:rPr>
        <w:t>44</w:t>
      </w:r>
      <w:r>
        <w:rPr>
          <w:rFonts w:ascii="仿宋" w:hAnsi="仿宋" w:eastAsia="仿宋"/>
          <w:sz w:val="30"/>
          <w:szCs w:val="30"/>
        </w:rPr>
        <w:fldChar w:fldCharType="end"/>
      </w:r>
      <w:r>
        <w:rPr>
          <w:rFonts w:ascii="仿宋" w:hAnsi="仿宋" w:eastAsia="仿宋"/>
          <w:sz w:val="30"/>
          <w:szCs w:val="30"/>
        </w:rPr>
        <w:fldChar w:fldCharType="end"/>
      </w:r>
    </w:p>
    <w:p>
      <w:pPr>
        <w:pStyle w:val="21"/>
        <w:rPr>
          <w:rFonts w:ascii="仿宋" w:hAnsi="仿宋" w:eastAsia="仿宋" w:cstheme="minorBidi"/>
          <w:b/>
          <w:sz w:val="30"/>
          <w:szCs w:val="30"/>
        </w:rPr>
      </w:pPr>
      <w:r>
        <w:fldChar w:fldCharType="begin"/>
      </w:r>
      <w:r>
        <w:instrText xml:space="preserve"> HYPERLINK \l "_Toc91676441" </w:instrText>
      </w:r>
      <w:r>
        <w:fldChar w:fldCharType="separate"/>
      </w:r>
      <w:r>
        <w:rPr>
          <w:rStyle w:val="36"/>
          <w:rFonts w:hint="eastAsia" w:ascii="仿宋" w:hAnsi="仿宋" w:eastAsia="仿宋"/>
          <w:b/>
          <w:sz w:val="30"/>
          <w:szCs w:val="30"/>
        </w:rPr>
        <w:t>第五章</w:t>
      </w:r>
      <w:r>
        <w:rPr>
          <w:rStyle w:val="36"/>
          <w:rFonts w:ascii="仿宋" w:hAnsi="仿宋" w:eastAsia="仿宋"/>
          <w:b/>
          <w:sz w:val="30"/>
          <w:szCs w:val="30"/>
        </w:rPr>
        <w:t xml:space="preserve">  </w:t>
      </w:r>
      <w:r>
        <w:rPr>
          <w:rStyle w:val="36"/>
          <w:rFonts w:hint="eastAsia" w:ascii="仿宋" w:hAnsi="仿宋" w:eastAsia="仿宋"/>
          <w:b/>
          <w:sz w:val="30"/>
          <w:szCs w:val="30"/>
        </w:rPr>
        <w:t>主要任务</w:t>
      </w:r>
      <w:r>
        <w:rPr>
          <w:rFonts w:ascii="仿宋" w:hAnsi="仿宋" w:eastAsia="仿宋"/>
          <w:b/>
          <w:sz w:val="30"/>
          <w:szCs w:val="30"/>
        </w:rPr>
        <w:tab/>
      </w:r>
      <w:r>
        <w:rPr>
          <w:rFonts w:ascii="仿宋" w:hAnsi="仿宋" w:eastAsia="仿宋"/>
          <w:b/>
          <w:sz w:val="30"/>
          <w:szCs w:val="30"/>
        </w:rPr>
        <w:fldChar w:fldCharType="begin"/>
      </w:r>
      <w:r>
        <w:rPr>
          <w:rFonts w:ascii="仿宋" w:hAnsi="仿宋" w:eastAsia="仿宋"/>
          <w:b/>
          <w:sz w:val="30"/>
          <w:szCs w:val="30"/>
        </w:rPr>
        <w:instrText xml:space="preserve"> PAGEREF _Toc91676441 \h </w:instrText>
      </w:r>
      <w:r>
        <w:rPr>
          <w:rFonts w:ascii="仿宋" w:hAnsi="仿宋" w:eastAsia="仿宋"/>
          <w:b/>
          <w:sz w:val="30"/>
          <w:szCs w:val="30"/>
        </w:rPr>
        <w:fldChar w:fldCharType="separate"/>
      </w:r>
      <w:r>
        <w:rPr>
          <w:rFonts w:ascii="仿宋" w:hAnsi="仿宋" w:eastAsia="仿宋"/>
          <w:b/>
          <w:sz w:val="30"/>
          <w:szCs w:val="30"/>
        </w:rPr>
        <w:t>48</w:t>
      </w:r>
      <w:r>
        <w:rPr>
          <w:rFonts w:ascii="仿宋" w:hAnsi="仿宋" w:eastAsia="仿宋"/>
          <w:b/>
          <w:sz w:val="30"/>
          <w:szCs w:val="30"/>
        </w:rPr>
        <w:fldChar w:fldCharType="end"/>
      </w:r>
      <w:r>
        <w:rPr>
          <w:rFonts w:ascii="仿宋" w:hAnsi="仿宋" w:eastAsia="仿宋"/>
          <w:b/>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"_Toc91676442" </w:instrText>
      </w:r>
      <w:r>
        <w:fldChar w:fldCharType="separate"/>
      </w:r>
      <w:r>
        <w:rPr>
          <w:rStyle w:val="36"/>
          <w:rFonts w:hint="eastAsia" w:ascii="仿宋" w:hAnsi="仿宋" w:eastAsia="仿宋"/>
          <w:sz w:val="30"/>
          <w:szCs w:val="30"/>
        </w:rPr>
        <w:t>第一节</w:t>
      </w:r>
      <w:r>
        <w:rPr>
          <w:rStyle w:val="36"/>
          <w:rFonts w:ascii="仿宋" w:hAnsi="仿宋" w:eastAsia="仿宋"/>
          <w:sz w:val="30"/>
          <w:szCs w:val="30"/>
        </w:rPr>
        <w:t xml:space="preserve">  </w:t>
      </w:r>
      <w:r>
        <w:rPr>
          <w:rStyle w:val="36"/>
          <w:rFonts w:hint="eastAsia" w:ascii="仿宋" w:hAnsi="仿宋" w:eastAsia="仿宋"/>
          <w:sz w:val="30"/>
          <w:szCs w:val="30"/>
        </w:rPr>
        <w:t>完善基础设施体系</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_Toc91676442 \h </w:instrText>
      </w:r>
      <w:r>
        <w:rPr>
          <w:rFonts w:ascii="仿宋" w:hAnsi="仿宋" w:eastAsia="仿宋"/>
          <w:sz w:val="30"/>
          <w:szCs w:val="30"/>
        </w:rPr>
        <w:fldChar w:fldCharType="separate"/>
      </w:r>
      <w:r>
        <w:rPr>
          <w:rFonts w:ascii="仿宋" w:hAnsi="仿宋" w:eastAsia="仿宋"/>
          <w:sz w:val="30"/>
          <w:szCs w:val="30"/>
        </w:rPr>
        <w:t>48</w:t>
      </w:r>
      <w:r>
        <w:rPr>
          <w:rFonts w:ascii="仿宋" w:hAnsi="仿宋" w:eastAsia="仿宋"/>
          <w:sz w:val="30"/>
          <w:szCs w:val="30"/>
        </w:rPr>
        <w:fldChar w:fldCharType="end"/>
      </w:r>
      <w:r>
        <w:rPr>
          <w:rFonts w:ascii="仿宋" w:hAnsi="仿宋" w:eastAsia="仿宋"/>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"_Toc91676443" </w:instrText>
      </w:r>
      <w:r>
        <w:fldChar w:fldCharType="separate"/>
      </w:r>
      <w:r>
        <w:rPr>
          <w:rStyle w:val="36"/>
          <w:rFonts w:hint="eastAsia" w:ascii="仿宋" w:hAnsi="仿宋" w:eastAsia="仿宋"/>
          <w:sz w:val="30"/>
          <w:szCs w:val="30"/>
        </w:rPr>
        <w:t>第二节</w:t>
      </w:r>
      <w:r>
        <w:rPr>
          <w:rStyle w:val="36"/>
          <w:rFonts w:ascii="仿宋" w:hAnsi="仿宋" w:eastAsia="仿宋"/>
          <w:sz w:val="30"/>
          <w:szCs w:val="30"/>
        </w:rPr>
        <w:t xml:space="preserve">  </w:t>
      </w:r>
      <w:r>
        <w:rPr>
          <w:rStyle w:val="36"/>
          <w:rFonts w:hint="eastAsia" w:ascii="仿宋" w:hAnsi="仿宋" w:eastAsia="仿宋"/>
          <w:sz w:val="30"/>
          <w:szCs w:val="30"/>
        </w:rPr>
        <w:t>提升园区创新能力</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_Toc91676443 \h </w:instrText>
      </w:r>
      <w:r>
        <w:rPr>
          <w:rFonts w:ascii="仿宋" w:hAnsi="仿宋" w:eastAsia="仿宋"/>
          <w:sz w:val="30"/>
          <w:szCs w:val="30"/>
        </w:rPr>
        <w:fldChar w:fldCharType="separate"/>
      </w:r>
      <w:r>
        <w:rPr>
          <w:rFonts w:ascii="仿宋" w:hAnsi="仿宋" w:eastAsia="仿宋"/>
          <w:sz w:val="30"/>
          <w:szCs w:val="30"/>
        </w:rPr>
        <w:t>50</w:t>
      </w:r>
      <w:r>
        <w:rPr>
          <w:rFonts w:ascii="仿宋" w:hAnsi="仿宋" w:eastAsia="仿宋"/>
          <w:sz w:val="30"/>
          <w:szCs w:val="30"/>
        </w:rPr>
        <w:fldChar w:fldCharType="end"/>
      </w:r>
      <w:r>
        <w:rPr>
          <w:rFonts w:ascii="仿宋" w:hAnsi="仿宋" w:eastAsia="仿宋"/>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"_Toc91676444" </w:instrText>
      </w:r>
      <w:r>
        <w:fldChar w:fldCharType="separate"/>
      </w:r>
      <w:r>
        <w:rPr>
          <w:rStyle w:val="36"/>
          <w:rFonts w:hint="eastAsia" w:ascii="仿宋" w:hAnsi="仿宋" w:eastAsia="仿宋"/>
          <w:sz w:val="30"/>
          <w:szCs w:val="30"/>
        </w:rPr>
        <w:t>第三节</w:t>
      </w:r>
      <w:r>
        <w:rPr>
          <w:rStyle w:val="36"/>
          <w:rFonts w:ascii="仿宋" w:hAnsi="仿宋" w:eastAsia="仿宋"/>
          <w:sz w:val="30"/>
          <w:szCs w:val="30"/>
        </w:rPr>
        <w:t xml:space="preserve">  </w:t>
      </w:r>
      <w:r>
        <w:rPr>
          <w:rStyle w:val="36"/>
          <w:rFonts w:hint="eastAsia" w:ascii="仿宋" w:hAnsi="仿宋" w:eastAsia="仿宋"/>
          <w:sz w:val="30"/>
          <w:szCs w:val="30"/>
        </w:rPr>
        <w:t>提升招商引资质效</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_Toc91676444 \h </w:instrText>
      </w:r>
      <w:r>
        <w:rPr>
          <w:rFonts w:ascii="仿宋" w:hAnsi="仿宋" w:eastAsia="仿宋"/>
          <w:sz w:val="30"/>
          <w:szCs w:val="30"/>
        </w:rPr>
        <w:fldChar w:fldCharType="separate"/>
      </w:r>
      <w:r>
        <w:rPr>
          <w:rFonts w:ascii="仿宋" w:hAnsi="仿宋" w:eastAsia="仿宋"/>
          <w:sz w:val="30"/>
          <w:szCs w:val="30"/>
        </w:rPr>
        <w:t>52</w:t>
      </w:r>
      <w:r>
        <w:rPr>
          <w:rFonts w:ascii="仿宋" w:hAnsi="仿宋" w:eastAsia="仿宋"/>
          <w:sz w:val="30"/>
          <w:szCs w:val="30"/>
        </w:rPr>
        <w:fldChar w:fldCharType="end"/>
      </w:r>
      <w:r>
        <w:rPr>
          <w:rFonts w:ascii="仿宋" w:hAnsi="仿宋" w:eastAsia="仿宋"/>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"_Toc91676445" </w:instrText>
      </w:r>
      <w:r>
        <w:fldChar w:fldCharType="separate"/>
      </w:r>
      <w:r>
        <w:rPr>
          <w:rStyle w:val="36"/>
          <w:rFonts w:hint="eastAsia" w:ascii="仿宋" w:hAnsi="仿宋" w:eastAsia="仿宋"/>
          <w:sz w:val="30"/>
          <w:szCs w:val="30"/>
        </w:rPr>
        <w:t>第四节</w:t>
      </w:r>
      <w:r>
        <w:rPr>
          <w:rStyle w:val="36"/>
          <w:rFonts w:ascii="仿宋" w:hAnsi="仿宋" w:eastAsia="仿宋"/>
          <w:sz w:val="30"/>
          <w:szCs w:val="30"/>
        </w:rPr>
        <w:t xml:space="preserve">  </w:t>
      </w:r>
      <w:r>
        <w:rPr>
          <w:rStyle w:val="36"/>
          <w:rFonts w:hint="eastAsia" w:ascii="仿宋" w:hAnsi="仿宋" w:eastAsia="仿宋"/>
          <w:sz w:val="30"/>
          <w:szCs w:val="30"/>
        </w:rPr>
        <w:t>打造绿色智慧园区</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_Toc91676445 \h </w:instrText>
      </w:r>
      <w:r>
        <w:rPr>
          <w:rFonts w:ascii="仿宋" w:hAnsi="仿宋" w:eastAsia="仿宋"/>
          <w:sz w:val="30"/>
          <w:szCs w:val="30"/>
        </w:rPr>
        <w:fldChar w:fldCharType="separate"/>
      </w:r>
      <w:r>
        <w:rPr>
          <w:rFonts w:ascii="仿宋" w:hAnsi="仿宋" w:eastAsia="仿宋"/>
          <w:sz w:val="30"/>
          <w:szCs w:val="30"/>
        </w:rPr>
        <w:t>53</w:t>
      </w:r>
      <w:r>
        <w:rPr>
          <w:rFonts w:ascii="仿宋" w:hAnsi="仿宋" w:eastAsia="仿宋"/>
          <w:sz w:val="30"/>
          <w:szCs w:val="30"/>
        </w:rPr>
        <w:fldChar w:fldCharType="end"/>
      </w:r>
      <w:r>
        <w:rPr>
          <w:rFonts w:ascii="仿宋" w:hAnsi="仿宋" w:eastAsia="仿宋"/>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"_Toc91676446" </w:instrText>
      </w:r>
      <w:r>
        <w:fldChar w:fldCharType="separate"/>
      </w:r>
      <w:r>
        <w:rPr>
          <w:rStyle w:val="36"/>
          <w:rFonts w:hint="eastAsia" w:ascii="仿宋" w:hAnsi="仿宋" w:eastAsia="仿宋"/>
          <w:sz w:val="30"/>
          <w:szCs w:val="30"/>
        </w:rPr>
        <w:t>第五节</w:t>
      </w:r>
      <w:r>
        <w:rPr>
          <w:rStyle w:val="36"/>
          <w:rFonts w:ascii="仿宋" w:hAnsi="仿宋" w:eastAsia="仿宋"/>
          <w:sz w:val="30"/>
          <w:szCs w:val="30"/>
        </w:rPr>
        <w:t xml:space="preserve">  </w:t>
      </w:r>
      <w:r>
        <w:rPr>
          <w:rStyle w:val="36"/>
          <w:rFonts w:hint="eastAsia" w:ascii="仿宋" w:hAnsi="仿宋" w:eastAsia="仿宋"/>
          <w:sz w:val="30"/>
          <w:szCs w:val="30"/>
        </w:rPr>
        <w:t>加强企业梯度培育</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_Toc91676446 \h </w:instrText>
      </w:r>
      <w:r>
        <w:rPr>
          <w:rFonts w:ascii="仿宋" w:hAnsi="仿宋" w:eastAsia="仿宋"/>
          <w:sz w:val="30"/>
          <w:szCs w:val="30"/>
        </w:rPr>
        <w:fldChar w:fldCharType="separate"/>
      </w:r>
      <w:r>
        <w:rPr>
          <w:rFonts w:ascii="仿宋" w:hAnsi="仿宋" w:eastAsia="仿宋"/>
          <w:sz w:val="30"/>
          <w:szCs w:val="30"/>
        </w:rPr>
        <w:t>55</w:t>
      </w:r>
      <w:r>
        <w:rPr>
          <w:rFonts w:ascii="仿宋" w:hAnsi="仿宋" w:eastAsia="仿宋"/>
          <w:sz w:val="30"/>
          <w:szCs w:val="30"/>
        </w:rPr>
        <w:fldChar w:fldCharType="end"/>
      </w:r>
      <w:r>
        <w:rPr>
          <w:rFonts w:ascii="仿宋" w:hAnsi="仿宋" w:eastAsia="仿宋"/>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"_Toc91676447" </w:instrText>
      </w:r>
      <w:r>
        <w:fldChar w:fldCharType="separate"/>
      </w:r>
      <w:r>
        <w:rPr>
          <w:rStyle w:val="36"/>
          <w:rFonts w:hint="eastAsia" w:ascii="仿宋" w:hAnsi="仿宋" w:eastAsia="仿宋"/>
          <w:sz w:val="30"/>
          <w:szCs w:val="30"/>
        </w:rPr>
        <w:t>第六节</w:t>
      </w:r>
      <w:r>
        <w:rPr>
          <w:rStyle w:val="36"/>
          <w:rFonts w:ascii="仿宋" w:hAnsi="仿宋" w:eastAsia="仿宋"/>
          <w:sz w:val="30"/>
          <w:szCs w:val="30"/>
        </w:rPr>
        <w:t xml:space="preserve">  </w:t>
      </w:r>
      <w:r>
        <w:rPr>
          <w:rStyle w:val="36"/>
          <w:rFonts w:hint="eastAsia" w:ascii="仿宋" w:hAnsi="仿宋" w:eastAsia="仿宋"/>
          <w:sz w:val="30"/>
          <w:szCs w:val="30"/>
        </w:rPr>
        <w:t>强化工业安全生产</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_Toc91676447 \h </w:instrText>
      </w:r>
      <w:r>
        <w:rPr>
          <w:rFonts w:ascii="仿宋" w:hAnsi="仿宋" w:eastAsia="仿宋"/>
          <w:sz w:val="30"/>
          <w:szCs w:val="30"/>
        </w:rPr>
        <w:fldChar w:fldCharType="separate"/>
      </w:r>
      <w:r>
        <w:rPr>
          <w:rFonts w:ascii="仿宋" w:hAnsi="仿宋" w:eastAsia="仿宋"/>
          <w:sz w:val="30"/>
          <w:szCs w:val="30"/>
        </w:rPr>
        <w:t>57</w:t>
      </w:r>
      <w:r>
        <w:rPr>
          <w:rFonts w:ascii="仿宋" w:hAnsi="仿宋" w:eastAsia="仿宋"/>
          <w:sz w:val="30"/>
          <w:szCs w:val="30"/>
        </w:rPr>
        <w:fldChar w:fldCharType="end"/>
      </w:r>
      <w:r>
        <w:rPr>
          <w:rFonts w:ascii="仿宋" w:hAnsi="仿宋" w:eastAsia="仿宋"/>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"_Toc91676448" </w:instrText>
      </w:r>
      <w:r>
        <w:fldChar w:fldCharType="separate"/>
      </w:r>
      <w:r>
        <w:rPr>
          <w:rStyle w:val="36"/>
          <w:rFonts w:hint="eastAsia" w:ascii="仿宋" w:hAnsi="仿宋" w:eastAsia="仿宋"/>
          <w:sz w:val="30"/>
          <w:szCs w:val="30"/>
        </w:rPr>
        <w:t>第七节</w:t>
      </w:r>
      <w:r>
        <w:rPr>
          <w:rStyle w:val="36"/>
          <w:rFonts w:ascii="仿宋" w:hAnsi="仿宋" w:eastAsia="仿宋"/>
          <w:sz w:val="30"/>
          <w:szCs w:val="30"/>
        </w:rPr>
        <w:t xml:space="preserve">  </w:t>
      </w:r>
      <w:r>
        <w:rPr>
          <w:rStyle w:val="36"/>
          <w:rFonts w:hint="eastAsia" w:ascii="仿宋" w:hAnsi="仿宋" w:eastAsia="仿宋"/>
          <w:sz w:val="30"/>
          <w:szCs w:val="30"/>
        </w:rPr>
        <w:t>加大环境保护力度</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_Toc91676448 \h </w:instrText>
      </w:r>
      <w:r>
        <w:rPr>
          <w:rFonts w:ascii="仿宋" w:hAnsi="仿宋" w:eastAsia="仿宋"/>
          <w:sz w:val="30"/>
          <w:szCs w:val="30"/>
        </w:rPr>
        <w:fldChar w:fldCharType="separate"/>
      </w:r>
      <w:r>
        <w:rPr>
          <w:rFonts w:ascii="仿宋" w:hAnsi="仿宋" w:eastAsia="仿宋"/>
          <w:sz w:val="30"/>
          <w:szCs w:val="30"/>
        </w:rPr>
        <w:t>59</w:t>
      </w:r>
      <w:r>
        <w:rPr>
          <w:rFonts w:ascii="仿宋" w:hAnsi="仿宋" w:eastAsia="仿宋"/>
          <w:sz w:val="30"/>
          <w:szCs w:val="30"/>
        </w:rPr>
        <w:fldChar w:fldCharType="end"/>
      </w:r>
      <w:r>
        <w:rPr>
          <w:rFonts w:ascii="仿宋" w:hAnsi="仿宋" w:eastAsia="仿宋"/>
          <w:sz w:val="30"/>
          <w:szCs w:val="30"/>
        </w:rPr>
        <w:fldChar w:fldCharType="end"/>
      </w:r>
    </w:p>
    <w:p>
      <w:pPr>
        <w:pStyle w:val="21"/>
        <w:rPr>
          <w:rFonts w:ascii="仿宋" w:hAnsi="仿宋" w:eastAsia="仿宋" w:cstheme="minorBidi"/>
          <w:b/>
          <w:sz w:val="30"/>
          <w:szCs w:val="30"/>
        </w:rPr>
      </w:pPr>
      <w:r>
        <w:fldChar w:fldCharType="begin"/>
      </w:r>
      <w:r>
        <w:instrText xml:space="preserve"> HYPERLINK \l "_Toc91676449" </w:instrText>
      </w:r>
      <w:r>
        <w:fldChar w:fldCharType="separate"/>
      </w:r>
      <w:r>
        <w:rPr>
          <w:rStyle w:val="36"/>
          <w:rFonts w:hint="eastAsia" w:ascii="仿宋" w:hAnsi="仿宋" w:eastAsia="仿宋"/>
          <w:b/>
          <w:sz w:val="30"/>
          <w:szCs w:val="30"/>
        </w:rPr>
        <w:t>第六章</w:t>
      </w:r>
      <w:r>
        <w:rPr>
          <w:rStyle w:val="36"/>
          <w:rFonts w:ascii="仿宋" w:hAnsi="仿宋" w:eastAsia="仿宋"/>
          <w:b/>
          <w:sz w:val="30"/>
          <w:szCs w:val="30"/>
        </w:rPr>
        <w:t xml:space="preserve">  </w:t>
      </w:r>
      <w:r>
        <w:rPr>
          <w:rStyle w:val="36"/>
          <w:rFonts w:hint="eastAsia" w:ascii="仿宋" w:hAnsi="仿宋" w:eastAsia="仿宋"/>
          <w:b/>
          <w:sz w:val="30"/>
          <w:szCs w:val="30"/>
        </w:rPr>
        <w:t>保障措施</w:t>
      </w:r>
      <w:r>
        <w:rPr>
          <w:rFonts w:ascii="仿宋" w:hAnsi="仿宋" w:eastAsia="仿宋"/>
          <w:b/>
          <w:sz w:val="30"/>
          <w:szCs w:val="30"/>
        </w:rPr>
        <w:tab/>
      </w:r>
      <w:r>
        <w:rPr>
          <w:rFonts w:ascii="仿宋" w:hAnsi="仿宋" w:eastAsia="仿宋"/>
          <w:b/>
          <w:sz w:val="30"/>
          <w:szCs w:val="30"/>
        </w:rPr>
        <w:fldChar w:fldCharType="begin"/>
      </w:r>
      <w:r>
        <w:rPr>
          <w:rFonts w:ascii="仿宋" w:hAnsi="仿宋" w:eastAsia="仿宋"/>
          <w:b/>
          <w:sz w:val="30"/>
          <w:szCs w:val="30"/>
        </w:rPr>
        <w:instrText xml:space="preserve"> PAGEREF _Toc91676449 \h </w:instrText>
      </w:r>
      <w:r>
        <w:rPr>
          <w:rFonts w:ascii="仿宋" w:hAnsi="仿宋" w:eastAsia="仿宋"/>
          <w:b/>
          <w:sz w:val="30"/>
          <w:szCs w:val="30"/>
        </w:rPr>
        <w:fldChar w:fldCharType="separate"/>
      </w:r>
      <w:r>
        <w:rPr>
          <w:rFonts w:ascii="仿宋" w:hAnsi="仿宋" w:eastAsia="仿宋"/>
          <w:b/>
          <w:sz w:val="30"/>
          <w:szCs w:val="30"/>
        </w:rPr>
        <w:t>63</w:t>
      </w:r>
      <w:r>
        <w:rPr>
          <w:rFonts w:ascii="仿宋" w:hAnsi="仿宋" w:eastAsia="仿宋"/>
          <w:b/>
          <w:sz w:val="30"/>
          <w:szCs w:val="30"/>
        </w:rPr>
        <w:fldChar w:fldCharType="end"/>
      </w:r>
      <w:r>
        <w:rPr>
          <w:rFonts w:ascii="仿宋" w:hAnsi="仿宋" w:eastAsia="仿宋"/>
          <w:b/>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"_Toc91676450" </w:instrText>
      </w:r>
      <w:r>
        <w:fldChar w:fldCharType="separate"/>
      </w:r>
      <w:r>
        <w:rPr>
          <w:rStyle w:val="36"/>
          <w:rFonts w:hint="eastAsia" w:ascii="仿宋" w:hAnsi="仿宋" w:eastAsia="仿宋"/>
          <w:sz w:val="30"/>
          <w:szCs w:val="30"/>
        </w:rPr>
        <w:t>第一节</w:t>
      </w:r>
      <w:r>
        <w:rPr>
          <w:rStyle w:val="36"/>
          <w:rFonts w:ascii="仿宋" w:hAnsi="仿宋" w:eastAsia="仿宋"/>
          <w:sz w:val="30"/>
          <w:szCs w:val="30"/>
        </w:rPr>
        <w:t xml:space="preserve">  </w:t>
      </w:r>
      <w:r>
        <w:rPr>
          <w:rStyle w:val="36"/>
          <w:rFonts w:hint="eastAsia" w:ascii="仿宋" w:hAnsi="仿宋" w:eastAsia="仿宋"/>
          <w:sz w:val="30"/>
          <w:szCs w:val="30"/>
        </w:rPr>
        <w:t>建立统筹协调机制</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_Toc91676450 \h </w:instrText>
      </w:r>
      <w:r>
        <w:rPr>
          <w:rFonts w:ascii="仿宋" w:hAnsi="仿宋" w:eastAsia="仿宋"/>
          <w:sz w:val="30"/>
          <w:szCs w:val="30"/>
        </w:rPr>
        <w:fldChar w:fldCharType="separate"/>
      </w:r>
      <w:r>
        <w:rPr>
          <w:rFonts w:ascii="仿宋" w:hAnsi="仿宋" w:eastAsia="仿宋"/>
          <w:sz w:val="30"/>
          <w:szCs w:val="30"/>
        </w:rPr>
        <w:t>63</w:t>
      </w:r>
      <w:r>
        <w:rPr>
          <w:rFonts w:ascii="仿宋" w:hAnsi="仿宋" w:eastAsia="仿宋"/>
          <w:sz w:val="30"/>
          <w:szCs w:val="30"/>
        </w:rPr>
        <w:fldChar w:fldCharType="end"/>
      </w:r>
      <w:r>
        <w:rPr>
          <w:rFonts w:ascii="仿宋" w:hAnsi="仿宋" w:eastAsia="仿宋"/>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"_Toc91676451" </w:instrText>
      </w:r>
      <w:r>
        <w:fldChar w:fldCharType="separate"/>
      </w:r>
      <w:r>
        <w:rPr>
          <w:rStyle w:val="36"/>
          <w:rFonts w:hint="eastAsia" w:ascii="仿宋" w:hAnsi="仿宋" w:eastAsia="仿宋"/>
          <w:sz w:val="30"/>
          <w:szCs w:val="30"/>
        </w:rPr>
        <w:t>第二节</w:t>
      </w:r>
      <w:r>
        <w:rPr>
          <w:rStyle w:val="36"/>
          <w:rFonts w:ascii="仿宋" w:hAnsi="仿宋" w:eastAsia="仿宋"/>
          <w:sz w:val="30"/>
          <w:szCs w:val="30"/>
        </w:rPr>
        <w:t xml:space="preserve">  </w:t>
      </w:r>
      <w:r>
        <w:rPr>
          <w:rStyle w:val="36"/>
          <w:rFonts w:hint="eastAsia" w:ascii="仿宋" w:hAnsi="仿宋" w:eastAsia="仿宋"/>
          <w:sz w:val="30"/>
          <w:szCs w:val="30"/>
        </w:rPr>
        <w:t>营造良好发展环境</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_Toc91676451 \h </w:instrText>
      </w:r>
      <w:r>
        <w:rPr>
          <w:rFonts w:ascii="仿宋" w:hAnsi="仿宋" w:eastAsia="仿宋"/>
          <w:sz w:val="30"/>
          <w:szCs w:val="30"/>
        </w:rPr>
        <w:fldChar w:fldCharType="separate"/>
      </w:r>
      <w:r>
        <w:rPr>
          <w:rFonts w:ascii="仿宋" w:hAnsi="仿宋" w:eastAsia="仿宋"/>
          <w:sz w:val="30"/>
          <w:szCs w:val="30"/>
        </w:rPr>
        <w:t>63</w:t>
      </w:r>
      <w:r>
        <w:rPr>
          <w:rFonts w:ascii="仿宋" w:hAnsi="仿宋" w:eastAsia="仿宋"/>
          <w:sz w:val="30"/>
          <w:szCs w:val="30"/>
        </w:rPr>
        <w:fldChar w:fldCharType="end"/>
      </w:r>
      <w:r>
        <w:rPr>
          <w:rFonts w:ascii="仿宋" w:hAnsi="仿宋" w:eastAsia="仿宋"/>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"_Toc91676452" </w:instrText>
      </w:r>
      <w:r>
        <w:fldChar w:fldCharType="separate"/>
      </w:r>
      <w:r>
        <w:rPr>
          <w:rStyle w:val="36"/>
          <w:rFonts w:hint="eastAsia" w:ascii="仿宋" w:hAnsi="仿宋" w:eastAsia="仿宋"/>
          <w:sz w:val="30"/>
          <w:szCs w:val="30"/>
        </w:rPr>
        <w:t>第三节</w:t>
      </w:r>
      <w:r>
        <w:rPr>
          <w:rStyle w:val="36"/>
          <w:rFonts w:ascii="仿宋" w:hAnsi="仿宋" w:eastAsia="仿宋"/>
          <w:sz w:val="30"/>
          <w:szCs w:val="30"/>
        </w:rPr>
        <w:t xml:space="preserve">  </w:t>
      </w:r>
      <w:r>
        <w:rPr>
          <w:rStyle w:val="36"/>
          <w:rFonts w:hint="eastAsia" w:ascii="仿宋" w:hAnsi="仿宋" w:eastAsia="仿宋"/>
          <w:sz w:val="30"/>
          <w:szCs w:val="30"/>
        </w:rPr>
        <w:t>加大财政金融支持</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_Toc91676452 \h </w:instrText>
      </w:r>
      <w:r>
        <w:rPr>
          <w:rFonts w:ascii="仿宋" w:hAnsi="仿宋" w:eastAsia="仿宋"/>
          <w:sz w:val="30"/>
          <w:szCs w:val="30"/>
        </w:rPr>
        <w:fldChar w:fldCharType="separate"/>
      </w:r>
      <w:r>
        <w:rPr>
          <w:rFonts w:ascii="仿宋" w:hAnsi="仿宋" w:eastAsia="仿宋"/>
          <w:sz w:val="30"/>
          <w:szCs w:val="30"/>
        </w:rPr>
        <w:t>64</w:t>
      </w:r>
      <w:r>
        <w:rPr>
          <w:rFonts w:ascii="仿宋" w:hAnsi="仿宋" w:eastAsia="仿宋"/>
          <w:sz w:val="30"/>
          <w:szCs w:val="30"/>
        </w:rPr>
        <w:fldChar w:fldCharType="end"/>
      </w:r>
      <w:r>
        <w:rPr>
          <w:rFonts w:ascii="仿宋" w:hAnsi="仿宋" w:eastAsia="仿宋"/>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"_Toc91676453" </w:instrText>
      </w:r>
      <w:r>
        <w:fldChar w:fldCharType="separate"/>
      </w:r>
      <w:r>
        <w:rPr>
          <w:rStyle w:val="36"/>
          <w:rFonts w:hint="eastAsia" w:ascii="仿宋" w:hAnsi="仿宋" w:eastAsia="仿宋"/>
          <w:sz w:val="30"/>
          <w:szCs w:val="30"/>
        </w:rPr>
        <w:t>第四节</w:t>
      </w:r>
      <w:r>
        <w:rPr>
          <w:rStyle w:val="36"/>
          <w:rFonts w:ascii="仿宋" w:hAnsi="仿宋" w:eastAsia="仿宋"/>
          <w:sz w:val="30"/>
          <w:szCs w:val="30"/>
        </w:rPr>
        <w:t xml:space="preserve">  </w:t>
      </w:r>
      <w:r>
        <w:rPr>
          <w:rStyle w:val="36"/>
          <w:rFonts w:hint="eastAsia" w:ascii="仿宋" w:hAnsi="仿宋" w:eastAsia="仿宋"/>
          <w:sz w:val="30"/>
          <w:szCs w:val="30"/>
        </w:rPr>
        <w:t>破解生产要素瓶颈</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_Toc91676453 \h </w:instrText>
      </w:r>
      <w:r>
        <w:rPr>
          <w:rFonts w:ascii="仿宋" w:hAnsi="仿宋" w:eastAsia="仿宋"/>
          <w:sz w:val="30"/>
          <w:szCs w:val="30"/>
        </w:rPr>
        <w:fldChar w:fldCharType="separate"/>
      </w:r>
      <w:r>
        <w:rPr>
          <w:rFonts w:ascii="仿宋" w:hAnsi="仿宋" w:eastAsia="仿宋"/>
          <w:sz w:val="30"/>
          <w:szCs w:val="30"/>
        </w:rPr>
        <w:t>65</w:t>
      </w:r>
      <w:r>
        <w:rPr>
          <w:rFonts w:ascii="仿宋" w:hAnsi="仿宋" w:eastAsia="仿宋"/>
          <w:sz w:val="30"/>
          <w:szCs w:val="30"/>
        </w:rPr>
        <w:fldChar w:fldCharType="end"/>
      </w:r>
      <w:r>
        <w:rPr>
          <w:rFonts w:ascii="仿宋" w:hAnsi="仿宋" w:eastAsia="仿宋"/>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"_Toc91676454" </w:instrText>
      </w:r>
      <w:r>
        <w:fldChar w:fldCharType="separate"/>
      </w:r>
      <w:r>
        <w:rPr>
          <w:rStyle w:val="36"/>
          <w:rFonts w:hint="eastAsia" w:ascii="仿宋" w:hAnsi="仿宋" w:eastAsia="仿宋"/>
          <w:sz w:val="30"/>
          <w:szCs w:val="30"/>
        </w:rPr>
        <w:t>第五节</w:t>
      </w:r>
      <w:r>
        <w:rPr>
          <w:rStyle w:val="36"/>
          <w:rFonts w:ascii="仿宋" w:hAnsi="仿宋" w:eastAsia="仿宋"/>
          <w:sz w:val="30"/>
          <w:szCs w:val="30"/>
        </w:rPr>
        <w:t xml:space="preserve">  </w:t>
      </w:r>
      <w:r>
        <w:rPr>
          <w:rStyle w:val="36"/>
          <w:rFonts w:hint="eastAsia" w:ascii="仿宋" w:hAnsi="仿宋" w:eastAsia="仿宋"/>
          <w:sz w:val="30"/>
          <w:szCs w:val="30"/>
        </w:rPr>
        <w:t>加强人才队伍建设</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_Toc91676454 \h </w:instrText>
      </w:r>
      <w:r>
        <w:rPr>
          <w:rFonts w:ascii="仿宋" w:hAnsi="仿宋" w:eastAsia="仿宋"/>
          <w:sz w:val="30"/>
          <w:szCs w:val="30"/>
        </w:rPr>
        <w:fldChar w:fldCharType="separate"/>
      </w:r>
      <w:r>
        <w:rPr>
          <w:rFonts w:ascii="仿宋" w:hAnsi="仿宋" w:eastAsia="仿宋"/>
          <w:sz w:val="30"/>
          <w:szCs w:val="30"/>
        </w:rPr>
        <w:t>65</w:t>
      </w:r>
      <w:r>
        <w:rPr>
          <w:rFonts w:ascii="仿宋" w:hAnsi="仿宋" w:eastAsia="仿宋"/>
          <w:sz w:val="30"/>
          <w:szCs w:val="30"/>
        </w:rPr>
        <w:fldChar w:fldCharType="end"/>
      </w:r>
      <w:r>
        <w:rPr>
          <w:rFonts w:ascii="仿宋" w:hAnsi="仿宋" w:eastAsia="仿宋"/>
          <w:sz w:val="30"/>
          <w:szCs w:val="30"/>
        </w:rPr>
        <w:fldChar w:fldCharType="end"/>
      </w:r>
    </w:p>
    <w:p>
      <w:pPr>
        <w:pStyle w:val="25"/>
        <w:adjustRightInd w:val="0"/>
        <w:snapToGrid w:val="0"/>
        <w:ind w:left="480"/>
        <w:rPr>
          <w:rFonts w:ascii="仿宋" w:hAnsi="仿宋" w:eastAsia="仿宋" w:cstheme="minorBidi"/>
          <w:sz w:val="30"/>
          <w:szCs w:val="30"/>
        </w:rPr>
      </w:pPr>
      <w:r>
        <w:fldChar w:fldCharType="begin"/>
      </w:r>
      <w:r>
        <w:instrText xml:space="preserve"> HYPERLINK \l "_Toc91676455" </w:instrText>
      </w:r>
      <w:r>
        <w:fldChar w:fldCharType="separate"/>
      </w:r>
      <w:r>
        <w:rPr>
          <w:rStyle w:val="36"/>
          <w:rFonts w:hint="eastAsia" w:ascii="仿宋" w:hAnsi="仿宋" w:eastAsia="仿宋"/>
          <w:sz w:val="30"/>
          <w:szCs w:val="30"/>
        </w:rPr>
        <w:t>第六节</w:t>
      </w:r>
      <w:r>
        <w:rPr>
          <w:rStyle w:val="36"/>
          <w:rFonts w:ascii="仿宋" w:hAnsi="仿宋" w:eastAsia="仿宋"/>
          <w:sz w:val="30"/>
          <w:szCs w:val="30"/>
        </w:rPr>
        <w:t xml:space="preserve">  </w:t>
      </w:r>
      <w:r>
        <w:rPr>
          <w:rStyle w:val="36"/>
          <w:rFonts w:hint="eastAsia" w:ascii="仿宋" w:hAnsi="仿宋" w:eastAsia="仿宋"/>
          <w:sz w:val="30"/>
          <w:szCs w:val="30"/>
        </w:rPr>
        <w:t>健全考核评价机制</w:t>
      </w:r>
      <w:r>
        <w:rPr>
          <w:rFonts w:ascii="仿宋" w:hAnsi="仿宋" w:eastAsia="仿宋"/>
          <w:sz w:val="30"/>
          <w:szCs w:val="30"/>
        </w:rPr>
        <w:tab/>
      </w:r>
      <w:r>
        <w:rPr>
          <w:rFonts w:ascii="仿宋" w:hAnsi="仿宋" w:eastAsia="仿宋"/>
          <w:sz w:val="30"/>
          <w:szCs w:val="30"/>
        </w:rPr>
        <w:fldChar w:fldCharType="begin"/>
      </w:r>
      <w:r>
        <w:rPr>
          <w:rFonts w:ascii="仿宋" w:hAnsi="仿宋" w:eastAsia="仿宋"/>
          <w:sz w:val="30"/>
          <w:szCs w:val="30"/>
        </w:rPr>
        <w:instrText xml:space="preserve"> PAGEREF _Toc91676455 \h </w:instrText>
      </w:r>
      <w:r>
        <w:rPr>
          <w:rFonts w:ascii="仿宋" w:hAnsi="仿宋" w:eastAsia="仿宋"/>
          <w:sz w:val="30"/>
          <w:szCs w:val="30"/>
        </w:rPr>
        <w:fldChar w:fldCharType="separate"/>
      </w:r>
      <w:r>
        <w:rPr>
          <w:rFonts w:ascii="仿宋" w:hAnsi="仿宋" w:eastAsia="仿宋"/>
          <w:sz w:val="30"/>
          <w:szCs w:val="30"/>
        </w:rPr>
        <w:t>66</w:t>
      </w:r>
      <w:r>
        <w:rPr>
          <w:rFonts w:ascii="仿宋" w:hAnsi="仿宋" w:eastAsia="仿宋"/>
          <w:sz w:val="30"/>
          <w:szCs w:val="30"/>
        </w:rPr>
        <w:fldChar w:fldCharType="end"/>
      </w:r>
      <w:r>
        <w:rPr>
          <w:rFonts w:ascii="仿宋" w:hAnsi="仿宋" w:eastAsia="仿宋"/>
          <w:sz w:val="30"/>
          <w:szCs w:val="30"/>
        </w:rPr>
        <w:fldChar w:fldCharType="end"/>
      </w:r>
    </w:p>
    <w:p>
      <w:pPr>
        <w:adjustRightInd w:val="0"/>
        <w:snapToGrid w:val="0"/>
        <w:spacing w:line="360" w:lineRule="auto"/>
        <w:ind w:firstLine="602" w:firstLineChars="200"/>
        <w:jc w:val="center"/>
        <w:rPr>
          <w:rFonts w:ascii="微软雅黑" w:hAnsi="微软雅黑" w:eastAsia="微软雅黑"/>
          <w:b/>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ascii="仿宋" w:hAnsi="仿宋" w:eastAsia="仿宋"/>
          <w:b/>
          <w:sz w:val="30"/>
          <w:szCs w:val="30"/>
        </w:rPr>
        <w:fldChar w:fldCharType="end"/>
      </w:r>
    </w:p>
    <w:p>
      <w:pPr>
        <w:pStyle w:val="2"/>
        <w:adjustRightInd w:val="0"/>
        <w:snapToGrid w:val="0"/>
        <w:spacing w:beforeLines="50" w:afterLines="50" w:line="360" w:lineRule="auto"/>
        <w:jc w:val="center"/>
        <w:rPr>
          <w:rFonts w:ascii="黑体" w:hAnsi="黑体" w:eastAsia="黑体"/>
          <w:bCs w:val="0"/>
          <w:color w:val="000000"/>
          <w:kern w:val="2"/>
        </w:rPr>
      </w:pPr>
      <w:bookmarkStart w:id="0" w:name="_Toc91676423"/>
      <w:bookmarkStart w:id="1" w:name="_Toc66118503"/>
      <w:bookmarkStart w:id="2" w:name="_Toc37088901"/>
      <w:r>
        <w:rPr>
          <w:rFonts w:hint="eastAsia" w:ascii="黑体" w:hAnsi="黑体" w:eastAsia="黑体"/>
          <w:bCs w:val="0"/>
          <w:color w:val="000000"/>
          <w:kern w:val="2"/>
        </w:rPr>
        <w:t>第一章  发展基础与形势</w:t>
      </w:r>
      <w:bookmarkEnd w:id="0"/>
      <w:bookmarkEnd w:id="1"/>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3" w:name="_Toc66118504"/>
      <w:bookmarkStart w:id="4" w:name="_Toc91676424"/>
      <w:r>
        <w:rPr>
          <w:rFonts w:hint="eastAsia" w:ascii="黑体" w:hAnsi="黑体" w:eastAsia="黑体" w:cs="Times New Roman"/>
          <w:bCs w:val="0"/>
          <w:color w:val="000000"/>
        </w:rPr>
        <w:t xml:space="preserve">第一节 </w:t>
      </w:r>
      <w:r>
        <w:rPr>
          <w:rFonts w:ascii="黑体" w:hAnsi="黑体" w:eastAsia="黑体" w:cs="Times New Roman"/>
          <w:bCs w:val="0"/>
          <w:color w:val="000000"/>
        </w:rPr>
        <w:t xml:space="preserve"> </w:t>
      </w:r>
      <w:r>
        <w:rPr>
          <w:rFonts w:hint="eastAsia" w:ascii="黑体" w:hAnsi="黑体" w:eastAsia="黑体" w:cs="Times New Roman"/>
          <w:bCs w:val="0"/>
          <w:color w:val="000000"/>
        </w:rPr>
        <w:t>“十三五”时期发展回顾</w:t>
      </w:r>
      <w:bookmarkEnd w:id="3"/>
      <w:bookmarkEnd w:id="4"/>
    </w:p>
    <w:p>
      <w:pPr>
        <w:adjustRightInd w:val="0"/>
        <w:snapToGrid w:val="0"/>
        <w:spacing w:line="360" w:lineRule="auto"/>
        <w:rPr>
          <w:rFonts w:ascii="黑体" w:hAnsi="黑体" w:eastAsia="黑体"/>
          <w:sz w:val="32"/>
          <w:szCs w:val="32"/>
        </w:rPr>
      </w:pPr>
      <w:r>
        <w:rPr>
          <w:rFonts w:hint="eastAsia" w:ascii="黑体" w:hAnsi="黑体" w:eastAsia="黑体"/>
          <w:sz w:val="32"/>
          <w:szCs w:val="32"/>
        </w:rPr>
        <w:t>一、发展成效</w:t>
      </w:r>
    </w:p>
    <w:p>
      <w:pPr>
        <w:adjustRightInd w:val="0"/>
        <w:snapToGrid w:val="0"/>
        <w:spacing w:line="360" w:lineRule="auto"/>
        <w:ind w:firstLine="561"/>
      </w:pPr>
      <w:r>
        <w:rPr>
          <w:rFonts w:hint="eastAsia" w:ascii="仿宋" w:hAnsi="仿宋" w:eastAsia="仿宋"/>
          <w:sz w:val="30"/>
          <w:szCs w:val="30"/>
        </w:rPr>
        <w:t>“十三五”时期是泸县经济开发区快速发展的五年。泸县经济开发区牢牢把握“稳中求进、进中求快、快中求好”工作基调，工业产业保持着快速、持续发展的良好势头，全面实现了“十三五”规划目标，为泸县经济社会发展做出了重大贡献。</w:t>
      </w:r>
    </w:p>
    <w:p>
      <w:pPr>
        <w:adjustRightInd w:val="0"/>
        <w:snapToGrid w:val="0"/>
        <w:spacing w:line="360" w:lineRule="auto"/>
        <w:ind w:firstLine="561"/>
        <w:rPr>
          <w:rFonts w:ascii="仿宋" w:hAnsi="仿宋" w:eastAsia="仿宋"/>
          <w:sz w:val="30"/>
          <w:szCs w:val="30"/>
        </w:rPr>
      </w:pPr>
      <w:r>
        <w:rPr>
          <w:rFonts w:hint="eastAsia" w:ascii="仿宋" w:hAnsi="仿宋" w:eastAsia="仿宋"/>
          <w:b/>
          <w:sz w:val="30"/>
          <w:szCs w:val="30"/>
        </w:rPr>
        <w:t>园区承载能力有效提升。</w:t>
      </w:r>
      <w:r>
        <w:rPr>
          <w:rFonts w:hint="eastAsia" w:ascii="仿宋" w:hAnsi="仿宋" w:eastAsia="仿宋"/>
          <w:sz w:val="30"/>
          <w:szCs w:val="30"/>
        </w:rPr>
        <w:t>“十三五”时期，泸县经济开发区道路、用电、供排水等公共基础设施及其配套基础设施不断完善。开发区内交通运输体系建设加快推进，已建成进港路、永新路、长桥路、临江路、永利大道三四段、桥山路、众邦路、渔湾大</w:t>
      </w:r>
      <w:r>
        <w:rPr>
          <w:rFonts w:ascii="仿宋" w:hAnsi="仿宋" w:eastAsia="仿宋"/>
          <w:sz w:val="30"/>
          <w:szCs w:val="30"/>
        </w:rPr>
        <w:t>道、9号线等各类公路约9公里，规划在建新合大道、通达路、永利大道五六段等市政大道6公里。园区停车场、职工住宿集中区、金融、商贸、通讯、邮政等便民服务网点、配套建设酿酒冷链物流中心等生产生活服务业配套完善，配套功能设施容积率按1.5计算，建筑面积约6.5</w:t>
      </w:r>
      <w:r>
        <w:rPr>
          <w:rFonts w:hint="eastAsia" w:ascii="仿宋" w:hAnsi="仿宋" w:eastAsia="仿宋"/>
          <w:sz w:val="30"/>
          <w:szCs w:val="30"/>
        </w:rPr>
        <w:t>万平方米。</w:t>
      </w:r>
      <w:r>
        <w:rPr>
          <w:rFonts w:ascii="仿宋" w:hAnsi="仿宋" w:eastAsia="仿宋"/>
          <w:sz w:val="30"/>
          <w:szCs w:val="30"/>
        </w:rPr>
        <w:t>神仙桥产业园已建特勤消防站1座、污水处理厂1座、110千伏变电站1座，移动、联通、电信、广电网络实现全面覆盖，水电气及附属配套容积率按1.5计算，建筑面积约12万平方米，同时，</w:t>
      </w:r>
      <w:r>
        <w:rPr>
          <w:rFonts w:hint="eastAsia" w:ascii="仿宋" w:hAnsi="仿宋" w:eastAsia="仿宋"/>
          <w:sz w:val="30"/>
          <w:szCs w:val="30"/>
        </w:rPr>
        <w:t>神仙桥产业园针对生态保护作了大量投资，环境质量持续改善，土地、大气、水等资源环境承载能力显著提升</w:t>
      </w:r>
      <w:r>
        <w:rPr>
          <w:rFonts w:ascii="仿宋" w:hAnsi="仿宋" w:eastAsia="仿宋"/>
          <w:sz w:val="30"/>
          <w:szCs w:val="30"/>
        </w:rPr>
        <w:t>。</w:t>
      </w:r>
      <w:r>
        <w:rPr>
          <w:rFonts w:hint="eastAsia" w:ascii="仿宋" w:hAnsi="仿宋" w:eastAsia="仿宋"/>
          <w:sz w:val="30"/>
          <w:szCs w:val="30"/>
        </w:rPr>
        <w:t>园区交通运输体系、市政设施和</w:t>
      </w:r>
      <w:r>
        <w:rPr>
          <w:rFonts w:ascii="仿宋" w:hAnsi="仿宋" w:eastAsia="仿宋"/>
          <w:sz w:val="30"/>
          <w:szCs w:val="30"/>
        </w:rPr>
        <w:t>配套设施的加快建设以及园区</w:t>
      </w:r>
      <w:r>
        <w:rPr>
          <w:rFonts w:hint="eastAsia" w:ascii="仿宋" w:hAnsi="仿宋" w:eastAsia="仿宋"/>
          <w:sz w:val="30"/>
          <w:szCs w:val="30"/>
        </w:rPr>
        <w:t>环境质量的持续改善，</w:t>
      </w:r>
      <w:r>
        <w:rPr>
          <w:rFonts w:ascii="仿宋" w:hAnsi="仿宋" w:eastAsia="仿宋"/>
          <w:sz w:val="30"/>
          <w:szCs w:val="30"/>
        </w:rPr>
        <w:t>有效提升了园区的承载能力。</w:t>
      </w:r>
    </w:p>
    <w:p>
      <w:pPr>
        <w:adjustRightInd w:val="0"/>
        <w:snapToGrid w:val="0"/>
        <w:spacing w:line="360" w:lineRule="auto"/>
        <w:ind w:firstLine="561"/>
        <w:rPr>
          <w:rFonts w:ascii="仿宋" w:hAnsi="仿宋" w:eastAsia="仿宋"/>
          <w:sz w:val="30"/>
          <w:szCs w:val="30"/>
        </w:rPr>
      </w:pPr>
      <w:r>
        <w:rPr>
          <w:rFonts w:hint="eastAsia" w:ascii="仿宋" w:hAnsi="仿宋" w:eastAsia="仿宋"/>
          <w:b/>
          <w:sz w:val="30"/>
          <w:szCs w:val="30"/>
        </w:rPr>
        <w:t>主导产业结构不断优化。</w:t>
      </w:r>
      <w:r>
        <w:rPr>
          <w:rFonts w:hint="eastAsia" w:ascii="仿宋" w:hAnsi="仿宋" w:eastAsia="仿宋"/>
          <w:sz w:val="30"/>
          <w:szCs w:val="30"/>
        </w:rPr>
        <w:t>“十三五”时期，泸县经济开发区以白酒、化工、新材料为主导的产业体系规模不断壮大，主导产业结</w:t>
      </w:r>
      <w:r>
        <w:rPr>
          <w:rFonts w:ascii="仿宋" w:hAnsi="仿宋" w:eastAsia="仿宋"/>
          <w:sz w:val="30"/>
          <w:szCs w:val="30"/>
        </w:rPr>
        <w:t>构不断优化。从规上工业企业总量上看，2017-20</w:t>
      </w:r>
      <w:r>
        <w:rPr>
          <w:rFonts w:hint="eastAsia" w:ascii="仿宋" w:hAnsi="仿宋" w:eastAsia="仿宋"/>
          <w:sz w:val="30"/>
          <w:szCs w:val="30"/>
        </w:rPr>
        <w:t>20</w:t>
      </w:r>
      <w:r>
        <w:rPr>
          <w:rFonts w:ascii="仿宋" w:hAnsi="仿宋" w:eastAsia="仿宋"/>
          <w:sz w:val="30"/>
          <w:szCs w:val="30"/>
        </w:rPr>
        <w:t>年，规上企业总量由63户增加到</w:t>
      </w:r>
      <w:r>
        <w:rPr>
          <w:rFonts w:hint="eastAsia" w:ascii="仿宋" w:hAnsi="仿宋" w:eastAsia="仿宋"/>
          <w:sz w:val="30"/>
          <w:szCs w:val="30"/>
        </w:rPr>
        <w:t>101</w:t>
      </w:r>
      <w:r>
        <w:rPr>
          <w:rFonts w:ascii="仿宋" w:hAnsi="仿宋" w:eastAsia="仿宋"/>
          <w:sz w:val="30"/>
          <w:szCs w:val="30"/>
        </w:rPr>
        <w:t>户；其中新增规上企业主要集中在化工、</w:t>
      </w:r>
      <w:r>
        <w:rPr>
          <w:rFonts w:hint="eastAsia" w:ascii="仿宋" w:hAnsi="仿宋" w:eastAsia="仿宋"/>
          <w:sz w:val="30"/>
          <w:szCs w:val="30"/>
        </w:rPr>
        <w:t>白酒、装备制造和电子信息行业领域。从规上工业企业规模上看，新增企业总体规模较大，开发区企业整体质量有较大提高；并且以酿酒、化工、新材料等为主导的企业效益进一步提升，开发区整体产业结构进一步合理化。总之，目前开发区已基本形成城西工业园以白酒为主导、神仙桥产业园以化工和新材料为主导的产业格局。</w:t>
      </w:r>
    </w:p>
    <w:p>
      <w:pPr>
        <w:adjustRightInd w:val="0"/>
        <w:snapToGrid w:val="0"/>
        <w:spacing w:line="360" w:lineRule="auto"/>
        <w:ind w:firstLine="561"/>
        <w:rPr>
          <w:rFonts w:ascii="仿宋" w:hAnsi="仿宋" w:eastAsia="仿宋"/>
          <w:sz w:val="30"/>
          <w:szCs w:val="30"/>
        </w:rPr>
      </w:pPr>
      <w:r>
        <w:rPr>
          <w:rFonts w:hint="eastAsia" w:ascii="仿宋" w:hAnsi="仿宋" w:eastAsia="仿宋"/>
          <w:b/>
          <w:sz w:val="30"/>
          <w:szCs w:val="30"/>
        </w:rPr>
        <w:t>经济增长质量稳步提升。</w:t>
      </w:r>
      <w:r>
        <w:rPr>
          <w:rFonts w:ascii="仿宋" w:hAnsi="仿宋" w:eastAsia="仿宋"/>
          <w:sz w:val="30"/>
          <w:szCs w:val="30"/>
        </w:rPr>
        <w:t>截止到</w:t>
      </w:r>
      <w:r>
        <w:rPr>
          <w:rFonts w:hint="eastAsia" w:ascii="仿宋" w:hAnsi="仿宋" w:eastAsia="仿宋"/>
          <w:sz w:val="30"/>
          <w:szCs w:val="30"/>
        </w:rPr>
        <w:t>2020</w:t>
      </w:r>
      <w:r>
        <w:rPr>
          <w:rFonts w:ascii="仿宋" w:hAnsi="仿宋" w:eastAsia="仿宋"/>
          <w:sz w:val="30"/>
          <w:szCs w:val="30"/>
        </w:rPr>
        <w:t>年，泸县</w:t>
      </w:r>
      <w:r>
        <w:rPr>
          <w:rFonts w:hint="eastAsia" w:ascii="仿宋" w:hAnsi="仿宋" w:eastAsia="仿宋"/>
          <w:sz w:val="30"/>
          <w:szCs w:val="30"/>
        </w:rPr>
        <w:t>经济开发区</w:t>
      </w:r>
      <w:r>
        <w:rPr>
          <w:rFonts w:ascii="仿宋" w:hAnsi="仿宋" w:eastAsia="仿宋"/>
          <w:sz w:val="30"/>
          <w:szCs w:val="30"/>
        </w:rPr>
        <w:t>入驻企业</w:t>
      </w:r>
      <w:r>
        <w:rPr>
          <w:rFonts w:hint="eastAsia" w:ascii="仿宋" w:hAnsi="仿宋" w:eastAsia="仿宋"/>
          <w:sz w:val="30"/>
          <w:szCs w:val="30"/>
        </w:rPr>
        <w:t>735</w:t>
      </w:r>
      <w:r>
        <w:rPr>
          <w:rFonts w:ascii="仿宋" w:hAnsi="仿宋" w:eastAsia="仿宋"/>
          <w:sz w:val="30"/>
          <w:szCs w:val="30"/>
        </w:rPr>
        <w:t>户，其中规模以上工业企业</w:t>
      </w:r>
      <w:r>
        <w:rPr>
          <w:rFonts w:hint="eastAsia" w:ascii="仿宋" w:hAnsi="仿宋" w:eastAsia="仿宋"/>
          <w:sz w:val="30"/>
          <w:szCs w:val="30"/>
        </w:rPr>
        <w:t>101</w:t>
      </w:r>
      <w:r>
        <w:rPr>
          <w:rFonts w:ascii="仿宋" w:hAnsi="仿宋" w:eastAsia="仿宋"/>
          <w:sz w:val="30"/>
          <w:szCs w:val="30"/>
        </w:rPr>
        <w:t>户，完成财政税收收入</w:t>
      </w:r>
      <w:r>
        <w:rPr>
          <w:rFonts w:hint="eastAsia" w:ascii="仿宋" w:hAnsi="仿宋" w:eastAsia="仿宋"/>
          <w:sz w:val="30"/>
          <w:szCs w:val="30"/>
        </w:rPr>
        <w:t>56943</w:t>
      </w:r>
      <w:r>
        <w:rPr>
          <w:rFonts w:ascii="仿宋" w:hAnsi="仿宋" w:eastAsia="仿宋"/>
          <w:sz w:val="30"/>
          <w:szCs w:val="30"/>
        </w:rPr>
        <w:t>万元，同比增长</w:t>
      </w:r>
      <w:r>
        <w:rPr>
          <w:rFonts w:hint="eastAsia" w:ascii="仿宋" w:hAnsi="仿宋" w:eastAsia="仿宋"/>
          <w:sz w:val="30"/>
          <w:szCs w:val="30"/>
        </w:rPr>
        <w:t>6.8</w:t>
      </w:r>
      <w:r>
        <w:rPr>
          <w:rFonts w:ascii="仿宋" w:hAnsi="仿宋" w:eastAsia="仿宋"/>
          <w:sz w:val="30"/>
          <w:szCs w:val="30"/>
        </w:rPr>
        <w:t>%。从</w:t>
      </w:r>
      <w:r>
        <w:rPr>
          <w:rFonts w:hint="eastAsia" w:ascii="仿宋" w:hAnsi="仿宋" w:eastAsia="仿宋"/>
          <w:sz w:val="30"/>
          <w:szCs w:val="30"/>
        </w:rPr>
        <w:t>“十三五”时期</w:t>
      </w:r>
      <w:r>
        <w:rPr>
          <w:rFonts w:ascii="仿宋" w:hAnsi="仿宋" w:eastAsia="仿宋"/>
          <w:sz w:val="30"/>
          <w:szCs w:val="30"/>
        </w:rPr>
        <w:t>发展情况来看，泸县经济开发区快速发展，入驻企业数量年均增速达到</w:t>
      </w:r>
      <w:r>
        <w:rPr>
          <w:rFonts w:hint="eastAsia" w:ascii="仿宋" w:hAnsi="仿宋" w:eastAsia="仿宋"/>
          <w:sz w:val="30"/>
          <w:szCs w:val="30"/>
        </w:rPr>
        <w:t>46</w:t>
      </w:r>
      <w:r>
        <w:rPr>
          <w:rFonts w:ascii="仿宋" w:hAnsi="仿宋" w:eastAsia="仿宋"/>
          <w:sz w:val="30"/>
          <w:szCs w:val="30"/>
        </w:rPr>
        <w:t>%，财税收入年均增速达到</w:t>
      </w:r>
      <w:r>
        <w:rPr>
          <w:rFonts w:hint="eastAsia" w:ascii="仿宋" w:hAnsi="仿宋" w:eastAsia="仿宋"/>
          <w:sz w:val="30"/>
          <w:szCs w:val="30"/>
        </w:rPr>
        <w:t>27</w:t>
      </w:r>
      <w:r>
        <w:rPr>
          <w:rFonts w:ascii="仿宋" w:hAnsi="仿宋" w:eastAsia="仿宋"/>
          <w:sz w:val="30"/>
          <w:szCs w:val="30"/>
        </w:rPr>
        <w:t>%。</w:t>
      </w:r>
      <w:r>
        <w:rPr>
          <w:rFonts w:hint="eastAsia" w:ascii="仿宋" w:hAnsi="仿宋" w:eastAsia="仿宋"/>
          <w:sz w:val="30"/>
          <w:szCs w:val="30"/>
        </w:rPr>
        <w:t>从产业发展层面看，以酒业、化工、新材料等为主导的产业体系基本形成，其中，2020年，酒业企业总产值达到279.5亿元，化工产业总产值达到41.9亿元。开发区经济质量稳步提升，已成为泸县地区经济社会健康可持续发展的核心支撑。</w:t>
      </w:r>
    </w:p>
    <w:p>
      <w:pPr>
        <w:pStyle w:val="145"/>
        <w:adjustRightInd w:val="0"/>
        <w:snapToGrid w:val="0"/>
        <w:spacing w:line="360" w:lineRule="auto"/>
        <w:ind w:left="0" w:leftChars="0" w:firstLine="602" w:firstLineChars="200"/>
        <w:rPr>
          <w:rFonts w:ascii="仿宋" w:hAnsi="仿宋" w:eastAsia="仿宋" w:cs="宋体"/>
          <w:kern w:val="0"/>
          <w:sz w:val="30"/>
          <w:szCs w:val="30"/>
        </w:rPr>
      </w:pPr>
      <w:r>
        <w:rPr>
          <w:rFonts w:hint="eastAsia" w:ascii="仿宋" w:hAnsi="仿宋" w:eastAsia="仿宋" w:cs="宋体"/>
          <w:b/>
          <w:bCs/>
          <w:kern w:val="0"/>
          <w:sz w:val="30"/>
          <w:szCs w:val="30"/>
        </w:rPr>
        <w:t>改革创新开放全面推进。</w:t>
      </w:r>
      <w:r>
        <w:rPr>
          <w:rFonts w:hint="eastAsia" w:ascii="仿宋" w:hAnsi="仿宋" w:eastAsia="仿宋" w:cs="宋体"/>
          <w:kern w:val="0"/>
          <w:sz w:val="30"/>
          <w:szCs w:val="30"/>
        </w:rPr>
        <w:t>“十三五”时期，泸县经济开发区通过一系列的体制机制改革创新与开放合作推动园区高质量发展。园区鼓励企业与科研院所加强产学研对接合作，积极配合科协、科知局为科研、技改企业申报项目资金、专利等，为园区企业转型发展和创新发展提供了坚强的支撑。园区出台政策助推创新创业，全面贯彻落实省市推进大众创新创业扶持政策，结合经开区实际及时制定就业创业资金管理、融资贷款等政策，通过发放创业担保贷款、落实创业担保贷款贴息、创业培训补贴、创业补贴、创业孵化基地补贴等形式进行创业资金支持，为园区企业健康、可持续发展提供了保障。园区按照“招大商、大招商”和“走出去、引进来”的思路，充实招商力量，明确招商方向，派驻招商小分队主动出击长三角、珠三角驻点招商，紧盯沿海重点区域，围绕主导产业实施精准招商，为园区主导产业做大做强打下了坚实的基础。</w:t>
      </w:r>
    </w:p>
    <w:p>
      <w:pPr>
        <w:adjustRightInd w:val="0"/>
        <w:snapToGrid w:val="0"/>
        <w:spacing w:line="360" w:lineRule="auto"/>
        <w:ind w:firstLine="561"/>
        <w:rPr>
          <w:rFonts w:ascii="仿宋" w:hAnsi="仿宋" w:eastAsia="仿宋"/>
          <w:sz w:val="30"/>
          <w:szCs w:val="30"/>
        </w:rPr>
      </w:pPr>
      <w:r>
        <w:rPr>
          <w:rFonts w:hint="eastAsia" w:ascii="仿宋" w:hAnsi="仿宋" w:eastAsia="仿宋"/>
          <w:b/>
          <w:sz w:val="30"/>
          <w:szCs w:val="30"/>
        </w:rPr>
        <w:t>园区发展环境显著优化。</w:t>
      </w:r>
      <w:r>
        <w:rPr>
          <w:rFonts w:hint="eastAsia" w:ascii="仿宋" w:hAnsi="仿宋" w:eastAsia="仿宋"/>
          <w:sz w:val="30"/>
          <w:szCs w:val="30"/>
        </w:rPr>
        <w:t>“十三五”时期，园区按照“领导包片、人员包联”的原则，严格实行企业包联制度，动态了解企业生产经营、安全环保、困难诉求等情况，实现管理服务无盲区；优化融资环境，配合经投公司协助企业融资，积极落实泸县信贷风险基金龙城“兴园贷”；积极配合市场监督管理局以及经济与科技局为企业争取专利奖励资金、成长型基金、应用技术开发资金、研发检测补助基金等；深入推进孵化载体建设，通过财政补贴、民间资本投资、社会资本入股等多种形式培育和扶持创新创业孵化服务平台建设，搭建双创服务平台；强化创新创业服务，印发服务指南，简化创业补贴申领、创业担保贷款申请、创业培训等创业服务事项办事环节，为创业者提供政策宣传、项目开发、开业指导、融资服务、跟踪扶持等一系列服务。</w:t>
      </w:r>
    </w:p>
    <w:p>
      <w:pPr>
        <w:adjustRightInd w:val="0"/>
        <w:snapToGrid w:val="0"/>
        <w:spacing w:line="360" w:lineRule="auto"/>
        <w:ind w:firstLine="561"/>
        <w:rPr>
          <w:rFonts w:ascii="仿宋" w:hAnsi="仿宋" w:eastAsia="仿宋"/>
          <w:sz w:val="30"/>
          <w:szCs w:val="30"/>
        </w:rPr>
      </w:pPr>
      <w:r>
        <w:rPr>
          <w:rFonts w:hint="eastAsia" w:ascii="仿宋" w:hAnsi="仿宋" w:eastAsia="仿宋"/>
          <w:b/>
          <w:sz w:val="30"/>
          <w:szCs w:val="30"/>
        </w:rPr>
        <w:t>土地集约利用成效显著。</w:t>
      </w:r>
      <w:r>
        <w:rPr>
          <w:rFonts w:hint="eastAsia" w:ascii="仿宋" w:hAnsi="仿宋" w:eastAsia="仿宋"/>
          <w:sz w:val="30"/>
          <w:szCs w:val="30"/>
        </w:rPr>
        <w:t>“十三五”时期，为促进土地的集约利用，园区建立了项目退出机制：针对长期停工的，列入“僵尸企业”名单，要求终止投资合同，收回土地；针对已投产但有闲置未建土地的，要求企业作出承诺，根据投资合同及土地使用权合同约定，限期施工建设；针对建成未用于工业生产的，要求企业确定工业生产项目并限期投产；针对已建成投产但不符合产业规划的，要求立即退出园区，按</w:t>
      </w:r>
      <w:r>
        <w:rPr>
          <w:rFonts w:ascii="仿宋" w:hAnsi="仿宋" w:eastAsia="仿宋"/>
          <w:sz w:val="30"/>
          <w:szCs w:val="30"/>
        </w:rPr>
        <w:t>产业规划另行选址建设。通过一系列有效措施的实施，土地综合利用和集约发展成效显著。</w:t>
      </w:r>
    </w:p>
    <w:p>
      <w:pPr>
        <w:pStyle w:val="143"/>
        <w:adjustRightInd w:val="0"/>
        <w:snapToGrid w:val="0"/>
        <w:spacing w:line="360" w:lineRule="auto"/>
        <w:ind w:firstLine="602" w:firstLineChars="200"/>
        <w:rPr>
          <w:rFonts w:ascii="仿宋" w:hAnsi="仿宋" w:eastAsia="仿宋" w:cs="宋体"/>
          <w:kern w:val="0"/>
          <w:sz w:val="30"/>
          <w:szCs w:val="30"/>
        </w:rPr>
      </w:pPr>
      <w:r>
        <w:rPr>
          <w:rFonts w:hint="eastAsia" w:ascii="仿宋" w:hAnsi="仿宋" w:eastAsia="仿宋" w:cs="宋体"/>
          <w:b/>
          <w:kern w:val="0"/>
          <w:sz w:val="30"/>
          <w:szCs w:val="30"/>
        </w:rPr>
        <w:t>生态环境保护措施有力。</w:t>
      </w:r>
      <w:r>
        <w:rPr>
          <w:rFonts w:hint="eastAsia" w:ascii="仿宋" w:hAnsi="仿宋" w:eastAsia="仿宋" w:cs="宋体"/>
          <w:kern w:val="0"/>
          <w:sz w:val="30"/>
          <w:szCs w:val="30"/>
        </w:rPr>
        <w:t>“十三五”时期，泸县经济开发区严格落实规划环评的相关环保要求，始终坚持经济发展和环境保护规划相结合的理念，在引进项目时严格产业准入制度，未引进不符合国家产业政策、开发区规划及开发区规划环评等要求的企业，对新上项目进行能源消耗审核和环境影响准入评价，实施环保“三同时”制度；督促引导入驻企业对现有大气污染治理设施进行更换升级，确保开发区污染物达标排放；将环保工作纳入重点工作予以重视，每月组织辖区企业、单位召开一次环保工作会议，每季度向上级部门汇报环保工作开展情况，不定期联合县环保局及其他相关部门对辖区企业进行环境污染大排查。实行环境质量“一把手”负责制，确定园区管委会主任为环境保护第一责任人，分管领导为直接责任人，确定专兼职环境保护工作人员具体组织开展环保工作，形成开发区管委会、各股室、企业分级化管理的环保监督网络体系。</w:t>
      </w:r>
    </w:p>
    <w:p/>
    <w:p/>
    <w:p/>
    <w:p>
      <w:pPr>
        <w:adjustRightInd w:val="0"/>
        <w:snapToGrid w:val="0"/>
        <w:spacing w:line="360" w:lineRule="auto"/>
        <w:rPr>
          <w:rFonts w:ascii="黑体" w:hAnsi="黑体" w:eastAsia="黑体"/>
          <w:sz w:val="32"/>
          <w:szCs w:val="32"/>
        </w:rPr>
      </w:pPr>
      <w:r>
        <w:rPr>
          <w:rFonts w:hint="eastAsia" w:ascii="黑体" w:hAnsi="黑体" w:eastAsia="黑体"/>
          <w:sz w:val="32"/>
          <w:szCs w:val="32"/>
        </w:rPr>
        <w:t>二、存在问题</w:t>
      </w:r>
    </w:p>
    <w:p>
      <w:pPr>
        <w:adjustRightInd w:val="0"/>
        <w:snapToGrid w:val="0"/>
        <w:spacing w:line="360" w:lineRule="auto"/>
        <w:ind w:firstLine="561"/>
        <w:rPr>
          <w:rFonts w:ascii="仿宋" w:hAnsi="仿宋" w:eastAsia="仿宋"/>
          <w:sz w:val="30"/>
          <w:szCs w:val="30"/>
        </w:rPr>
      </w:pPr>
      <w:r>
        <w:rPr>
          <w:rFonts w:hint="eastAsia" w:ascii="仿宋" w:hAnsi="仿宋" w:eastAsia="仿宋"/>
          <w:sz w:val="30"/>
          <w:szCs w:val="30"/>
        </w:rPr>
        <w:t>“十三五”时期，泸县经济开发区虽然发展较快，但仍存在一些制约园区高质量发展的较为明显的问题。</w:t>
      </w:r>
    </w:p>
    <w:p>
      <w:pPr>
        <w:adjustRightInd w:val="0"/>
        <w:snapToGrid w:val="0"/>
        <w:spacing w:line="360" w:lineRule="auto"/>
        <w:ind w:firstLine="561"/>
        <w:rPr>
          <w:rFonts w:ascii="仿宋" w:hAnsi="仿宋" w:eastAsia="仿宋"/>
          <w:sz w:val="30"/>
          <w:szCs w:val="30"/>
        </w:rPr>
      </w:pPr>
      <w:r>
        <w:rPr>
          <w:rFonts w:hint="eastAsia" w:ascii="仿宋" w:hAnsi="仿宋" w:eastAsia="仿宋"/>
          <w:b/>
          <w:sz w:val="30"/>
          <w:szCs w:val="30"/>
        </w:rPr>
        <w:t>产业集聚度偏低。</w:t>
      </w:r>
      <w:r>
        <w:rPr>
          <w:rFonts w:hint="eastAsia" w:ascii="仿宋" w:hAnsi="仿宋" w:eastAsia="仿宋"/>
          <w:sz w:val="30"/>
          <w:szCs w:val="30"/>
        </w:rPr>
        <w:t>由于园区经济规模仍然偏小，长期以来缺乏产业规划引导，客观上造成了项目选择的随意性，园区成为众多产业不相干企业的“扎堆”之所；同时，由于园区现有龙头企业和高新技术企业偏少，辐射带动能力有限，上下游产业链联系不紧密，产业关联度较低，难以形成较强的产业集聚效应和品牌效应。</w:t>
      </w:r>
    </w:p>
    <w:p>
      <w:pPr>
        <w:adjustRightInd w:val="0"/>
        <w:snapToGrid w:val="0"/>
        <w:spacing w:line="360" w:lineRule="auto"/>
        <w:ind w:firstLine="561"/>
        <w:rPr>
          <w:rFonts w:ascii="仿宋" w:hAnsi="仿宋" w:eastAsia="仿宋"/>
          <w:sz w:val="30"/>
          <w:szCs w:val="30"/>
        </w:rPr>
      </w:pPr>
      <w:r>
        <w:rPr>
          <w:rFonts w:hint="eastAsia" w:ascii="仿宋" w:hAnsi="仿宋" w:eastAsia="仿宋"/>
          <w:b/>
          <w:sz w:val="30"/>
          <w:szCs w:val="30"/>
        </w:rPr>
        <w:t>园区要素制约较大。</w:t>
      </w:r>
      <w:r>
        <w:rPr>
          <w:rFonts w:hint="eastAsia" w:ascii="仿宋" w:hAnsi="仿宋" w:eastAsia="仿宋"/>
          <w:sz w:val="30"/>
          <w:szCs w:val="30"/>
        </w:rPr>
        <w:t>在土地供应方面，由于受全县土地利用总体规划建设用地指标以及征地时间和成本等因素的影响，土地供应仍然紧张。在劳动力供给方面，园区企业存在普通员工年龄偏大、文化水平偏低以及技能型人才特别是高层次专业技术人才招不进、留不住的困境。在融资方面，园区企业在向金融机构融资时，仍然存在融资难、成本高的问题。在要素保障方面存在的这些问题，严重制约了实体经济的生存和可持续发展。</w:t>
      </w:r>
    </w:p>
    <w:p>
      <w:pPr>
        <w:adjustRightInd w:val="0"/>
        <w:snapToGrid w:val="0"/>
        <w:spacing w:line="360" w:lineRule="auto"/>
        <w:ind w:firstLine="561"/>
        <w:rPr>
          <w:rFonts w:ascii="仿宋" w:hAnsi="仿宋" w:eastAsia="仿宋"/>
          <w:sz w:val="30"/>
          <w:szCs w:val="30"/>
        </w:rPr>
      </w:pPr>
      <w:r>
        <w:rPr>
          <w:rFonts w:hint="eastAsia" w:ascii="仿宋" w:hAnsi="仿宋" w:eastAsia="仿宋"/>
          <w:b/>
          <w:sz w:val="30"/>
          <w:szCs w:val="30"/>
        </w:rPr>
        <w:t>高端服务能力偏弱。</w:t>
      </w:r>
      <w:r>
        <w:rPr>
          <w:rFonts w:hint="eastAsia" w:ascii="仿宋" w:hAnsi="仿宋" w:eastAsia="仿宋"/>
          <w:sz w:val="30"/>
          <w:szCs w:val="30"/>
        </w:rPr>
        <w:t>园区涉及科技成果转移转化</w:t>
      </w:r>
      <w:r>
        <w:rPr>
          <w:rFonts w:ascii="仿宋" w:hAnsi="仿宋" w:eastAsia="仿宋"/>
          <w:sz w:val="30"/>
          <w:szCs w:val="30"/>
        </w:rPr>
        <w:t>、检验检测认证、知识产权、创业孵化</w:t>
      </w:r>
      <w:r>
        <w:rPr>
          <w:rFonts w:hint="eastAsia" w:ascii="仿宋" w:hAnsi="仿宋" w:eastAsia="仿宋"/>
          <w:sz w:val="30"/>
          <w:szCs w:val="30"/>
        </w:rPr>
        <w:t>、</w:t>
      </w:r>
      <w:r>
        <w:rPr>
          <w:rFonts w:ascii="仿宋" w:hAnsi="仿宋" w:eastAsia="仿宋"/>
          <w:sz w:val="30"/>
          <w:szCs w:val="30"/>
        </w:rPr>
        <w:t>科技咨询、</w:t>
      </w:r>
      <w:r>
        <w:rPr>
          <w:rFonts w:hint="eastAsia" w:ascii="仿宋" w:hAnsi="仿宋" w:eastAsia="仿宋"/>
          <w:sz w:val="30"/>
          <w:szCs w:val="30"/>
        </w:rPr>
        <w:t>法律咨询、人力资源服务等专业化服务体系尚不健全，中介服务机构较少，为企业和创业人员提供便利的投资、创业、咨询等相关服务能力偏弱；针对外籍人士和高层次人才的个性化商务服务和生活休闲服务水平不高，难以吸引和留住高端人才。</w:t>
      </w:r>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5" w:name="_Toc66118505"/>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6" w:name="_Toc91676425"/>
      <w:r>
        <w:rPr>
          <w:rFonts w:hint="eastAsia" w:ascii="黑体" w:hAnsi="黑体" w:eastAsia="黑体" w:cs="Times New Roman"/>
          <w:bCs w:val="0"/>
          <w:color w:val="000000"/>
        </w:rPr>
        <w:t xml:space="preserve">第二节 </w:t>
      </w:r>
      <w:r>
        <w:rPr>
          <w:rFonts w:ascii="黑体" w:hAnsi="黑体" w:eastAsia="黑体" w:cs="Times New Roman"/>
          <w:bCs w:val="0"/>
          <w:color w:val="000000"/>
        </w:rPr>
        <w:t xml:space="preserve"> </w:t>
      </w:r>
      <w:r>
        <w:rPr>
          <w:rFonts w:hint="eastAsia" w:ascii="黑体" w:hAnsi="黑体" w:eastAsia="黑体" w:cs="Times New Roman"/>
          <w:bCs w:val="0"/>
          <w:color w:val="000000"/>
        </w:rPr>
        <w:t>“十四五”时期发展机遇</w:t>
      </w:r>
      <w:bookmarkEnd w:id="5"/>
      <w:bookmarkEnd w:id="6"/>
    </w:p>
    <w:p>
      <w:pPr>
        <w:adjustRightInd w:val="0"/>
        <w:snapToGrid w:val="0"/>
        <w:spacing w:line="360" w:lineRule="auto"/>
        <w:ind w:firstLine="561"/>
        <w:rPr>
          <w:rFonts w:ascii="仿宋" w:hAnsi="仿宋" w:eastAsia="仿宋"/>
          <w:sz w:val="30"/>
          <w:szCs w:val="30"/>
        </w:rPr>
      </w:pPr>
      <w:r>
        <w:rPr>
          <w:rFonts w:hint="eastAsia" w:ascii="仿宋" w:hAnsi="仿宋" w:eastAsia="仿宋"/>
          <w:sz w:val="30"/>
          <w:szCs w:val="30"/>
        </w:rPr>
        <w:t>“十四五”时期是泸县经济开发区实现跨越式发展的关键时期，必须紧紧抓住国家和省市重大战略机遇以及区域发展环境改变带来的机遇，努力构建新格局、实现新发展。</w:t>
      </w:r>
    </w:p>
    <w:p>
      <w:pPr>
        <w:adjustRightInd w:val="0"/>
        <w:snapToGrid w:val="0"/>
        <w:spacing w:line="360" w:lineRule="auto"/>
        <w:rPr>
          <w:rFonts w:ascii="黑体" w:hAnsi="黑体" w:eastAsia="黑体"/>
          <w:sz w:val="32"/>
          <w:szCs w:val="32"/>
        </w:rPr>
      </w:pPr>
      <w:r>
        <w:rPr>
          <w:rFonts w:hint="eastAsia" w:ascii="黑体" w:hAnsi="黑体" w:eastAsia="黑体"/>
          <w:sz w:val="32"/>
          <w:szCs w:val="32"/>
        </w:rPr>
        <w:t>一、成渝地区双城经济圈建设带来的机遇</w:t>
      </w:r>
    </w:p>
    <w:p>
      <w:pPr>
        <w:adjustRightInd w:val="0"/>
        <w:snapToGrid w:val="0"/>
        <w:spacing w:line="360" w:lineRule="auto"/>
        <w:ind w:firstLine="600" w:firstLineChars="200"/>
        <w:rPr>
          <w:rFonts w:ascii="仿宋" w:hAnsi="仿宋" w:eastAsia="仿宋"/>
          <w:sz w:val="30"/>
          <w:szCs w:val="30"/>
        </w:rPr>
      </w:pPr>
      <w:r>
        <w:rPr>
          <w:rFonts w:hint="eastAsia" w:ascii="仿宋" w:hAnsi="仿宋" w:eastAsia="仿宋" w:cstheme="minorBidi"/>
          <w:sz w:val="30"/>
          <w:szCs w:val="30"/>
        </w:rPr>
        <w:t>推动成渝地区双城经济圈建设是习近平总书记亲自谋划、亲自部署、亲自推动的重大战略，对促进成渝地区协调发展、扩大对外开放合作、畅通国际国内经济循环具有十分重要的作用。</w:t>
      </w:r>
      <w:r>
        <w:rPr>
          <w:rFonts w:ascii="仿宋" w:hAnsi="仿宋" w:eastAsia="仿宋" w:cstheme="minorBidi"/>
          <w:sz w:val="30"/>
          <w:szCs w:val="30"/>
        </w:rPr>
        <w:t>随着成渝地区双城经济圈建设上升至新的战略高度，成渝</w:t>
      </w:r>
      <w:r>
        <w:rPr>
          <w:rFonts w:hint="eastAsia" w:ascii="仿宋" w:hAnsi="仿宋" w:eastAsia="仿宋" w:cstheme="minorBidi"/>
          <w:sz w:val="30"/>
          <w:szCs w:val="30"/>
        </w:rPr>
        <w:t>地区促进</w:t>
      </w:r>
      <w:r>
        <w:rPr>
          <w:rFonts w:ascii="仿宋" w:hAnsi="仿宋" w:eastAsia="仿宋" w:cstheme="minorBidi"/>
          <w:sz w:val="30"/>
          <w:szCs w:val="30"/>
        </w:rPr>
        <w:t>产业</w:t>
      </w:r>
      <w:r>
        <w:rPr>
          <w:rFonts w:hint="eastAsia" w:ascii="仿宋" w:hAnsi="仿宋" w:eastAsia="仿宋" w:cstheme="minorBidi"/>
          <w:sz w:val="30"/>
          <w:szCs w:val="30"/>
        </w:rPr>
        <w:t>协同</w:t>
      </w:r>
      <w:r>
        <w:rPr>
          <w:rFonts w:ascii="仿宋" w:hAnsi="仿宋" w:eastAsia="仿宋" w:cstheme="minorBidi"/>
          <w:sz w:val="30"/>
          <w:szCs w:val="30"/>
        </w:rPr>
        <w:t>发展大有作为</w:t>
      </w:r>
      <w:r>
        <w:rPr>
          <w:rFonts w:hint="eastAsia" w:ascii="仿宋" w:hAnsi="仿宋" w:eastAsia="仿宋" w:cstheme="minorBidi"/>
          <w:sz w:val="30"/>
          <w:szCs w:val="30"/>
        </w:rPr>
        <w:t>，</w:t>
      </w:r>
      <w:r>
        <w:rPr>
          <w:rFonts w:ascii="仿宋" w:hAnsi="仿宋" w:eastAsia="仿宋" w:cstheme="minorBidi"/>
          <w:sz w:val="30"/>
          <w:szCs w:val="30"/>
        </w:rPr>
        <w:t>两地</w:t>
      </w:r>
      <w:r>
        <w:rPr>
          <w:rFonts w:hint="eastAsia" w:ascii="仿宋" w:hAnsi="仿宋" w:eastAsia="仿宋" w:cstheme="minorBidi"/>
          <w:sz w:val="30"/>
          <w:szCs w:val="30"/>
        </w:rPr>
        <w:t>产业</w:t>
      </w:r>
      <w:r>
        <w:rPr>
          <w:rFonts w:ascii="仿宋" w:hAnsi="仿宋" w:eastAsia="仿宋" w:cstheme="minorBidi"/>
          <w:sz w:val="30"/>
          <w:szCs w:val="30"/>
        </w:rPr>
        <w:t>合作</w:t>
      </w:r>
      <w:r>
        <w:rPr>
          <w:rFonts w:hint="eastAsia" w:ascii="仿宋" w:hAnsi="仿宋" w:eastAsia="仿宋" w:cstheme="minorBidi"/>
          <w:sz w:val="30"/>
          <w:szCs w:val="30"/>
        </w:rPr>
        <w:t>正</w:t>
      </w:r>
      <w:r>
        <w:rPr>
          <w:rFonts w:ascii="仿宋" w:hAnsi="仿宋" w:eastAsia="仿宋" w:cstheme="minorBidi"/>
          <w:sz w:val="30"/>
          <w:szCs w:val="30"/>
        </w:rPr>
        <w:t>在不同层面、不同领域迅速推进。</w:t>
      </w:r>
      <w:r>
        <w:rPr>
          <w:rFonts w:hint="eastAsia" w:ascii="仿宋" w:hAnsi="仿宋" w:eastAsia="仿宋" w:cstheme="minorBidi"/>
          <w:sz w:val="30"/>
          <w:szCs w:val="30"/>
        </w:rPr>
        <w:t>成渝地区是我国西部地区人口数量最多、人才聚集最密、产业基础最好、创新能力最强、开放程度最高、发展潜力最大的优势区域，作为成渝地区双城经济圈南翼重要增长极核心区，泸县应</w:t>
      </w:r>
      <w:r>
        <w:rPr>
          <w:rFonts w:hint="eastAsia" w:ascii="仿宋" w:hAnsi="仿宋" w:eastAsia="仿宋"/>
          <w:sz w:val="30"/>
          <w:szCs w:val="30"/>
        </w:rPr>
        <w:t>紧紧抓住国家建设成渝地区双城经济圈的重大机遇，以</w:t>
      </w:r>
      <w:r>
        <w:rPr>
          <w:rFonts w:ascii="仿宋" w:hAnsi="仿宋" w:eastAsia="仿宋" w:cstheme="minorBidi"/>
          <w:sz w:val="30"/>
          <w:szCs w:val="30"/>
        </w:rPr>
        <w:t>《泸永江融合发展示范区总体方案》</w:t>
      </w:r>
      <w:r>
        <w:rPr>
          <w:rFonts w:hint="eastAsia" w:ascii="仿宋" w:hAnsi="仿宋" w:eastAsia="仿宋" w:cstheme="minorBidi"/>
          <w:sz w:val="30"/>
          <w:szCs w:val="30"/>
        </w:rPr>
        <w:t>和泸州市“一体两翼”特色发展战略实施</w:t>
      </w:r>
      <w:r>
        <w:rPr>
          <w:rFonts w:ascii="仿宋" w:hAnsi="仿宋" w:eastAsia="仿宋" w:cstheme="minorBidi"/>
          <w:sz w:val="30"/>
          <w:szCs w:val="30"/>
        </w:rPr>
        <w:t>为契机</w:t>
      </w:r>
      <w:r>
        <w:rPr>
          <w:rFonts w:hint="eastAsia" w:ascii="仿宋" w:hAnsi="仿宋" w:eastAsia="仿宋" w:cstheme="minorBidi"/>
          <w:sz w:val="30"/>
          <w:szCs w:val="30"/>
        </w:rPr>
        <w:t>，塑造区域协同新格局、构建现代产业新体系、培育创新驱动新优势、形成全面开放新态势，全面融入成渝双城</w:t>
      </w:r>
      <w:r>
        <w:rPr>
          <w:rFonts w:ascii="仿宋" w:hAnsi="仿宋" w:eastAsia="仿宋" w:cstheme="minorBidi"/>
          <w:sz w:val="30"/>
          <w:szCs w:val="30"/>
        </w:rPr>
        <w:t>产业生态圈</w:t>
      </w:r>
      <w:r>
        <w:rPr>
          <w:rFonts w:hint="eastAsia" w:ascii="仿宋" w:hAnsi="仿宋" w:eastAsia="仿宋" w:cstheme="minorBidi"/>
          <w:sz w:val="30"/>
          <w:szCs w:val="30"/>
        </w:rPr>
        <w:t>，借助成渝双城产业的研发优势和创新资源，加快建设成渝地区科技成果转移转化基地，与成渝地区双城经济圈在绿色化工、新材料、装备制造和电子信息等领域针对高端人才与科研领域进行深度合作，促进泸县经济开发区产业转型</w:t>
      </w:r>
      <w:r>
        <w:rPr>
          <w:rFonts w:hint="eastAsia" w:ascii="仿宋" w:hAnsi="仿宋" w:eastAsia="仿宋"/>
          <w:sz w:val="30"/>
          <w:szCs w:val="30"/>
        </w:rPr>
        <w:t>升级、创新发展与整体竞争力提升。</w:t>
      </w:r>
    </w:p>
    <w:p>
      <w:pPr>
        <w:adjustRightInd w:val="0"/>
        <w:snapToGrid w:val="0"/>
        <w:spacing w:line="360" w:lineRule="auto"/>
        <w:rPr>
          <w:rFonts w:ascii="黑体" w:hAnsi="黑体" w:eastAsia="黑体"/>
          <w:sz w:val="32"/>
          <w:szCs w:val="32"/>
        </w:rPr>
      </w:pPr>
    </w:p>
    <w:p>
      <w:pPr>
        <w:adjustRightInd w:val="0"/>
        <w:snapToGrid w:val="0"/>
        <w:spacing w:line="360" w:lineRule="auto"/>
        <w:rPr>
          <w:rFonts w:ascii="黑体" w:hAnsi="黑体" w:eastAsia="黑体"/>
          <w:sz w:val="32"/>
          <w:szCs w:val="32"/>
        </w:rPr>
      </w:pPr>
      <w:r>
        <w:rPr>
          <w:rFonts w:hint="eastAsia" w:ascii="黑体" w:hAnsi="黑体" w:eastAsia="黑体"/>
          <w:sz w:val="32"/>
          <w:szCs w:val="32"/>
        </w:rPr>
        <w:t>二、四川加快构建“5+1”现代产业体系带来的机遇</w:t>
      </w:r>
    </w:p>
    <w:p>
      <w:pPr>
        <w:adjustRightInd w:val="0"/>
        <w:snapToGrid w:val="0"/>
        <w:spacing w:line="360" w:lineRule="auto"/>
        <w:ind w:firstLine="600" w:firstLineChars="200"/>
        <w:rPr>
          <w:rFonts w:ascii="仿宋" w:hAnsi="仿宋" w:eastAsia="仿宋" w:cstheme="minorBidi"/>
          <w:sz w:val="30"/>
          <w:szCs w:val="30"/>
        </w:rPr>
      </w:pPr>
      <w:r>
        <w:rPr>
          <w:rFonts w:hint="eastAsia" w:ascii="仿宋" w:hAnsi="仿宋" w:eastAsia="仿宋" w:cstheme="minorBidi"/>
          <w:sz w:val="30"/>
          <w:szCs w:val="30"/>
        </w:rPr>
        <w:t>中共四川省委、省人民政府《关于加快构建“5＋1”现代产业体系推动工业高质量发展的意见》和《四川省国民经济和社会发展第十四个五年规划和二〇三五年远景目标纲要》都明确提出，紧紧围绕构建“一干多支、五区协同”区域发展新格局，加快形成以五大万亿级支柱产业和数字经济为主体的“5+1”现代产业体系，重点培育电子信息、装备制造、食品饮料、先进材料、能源化工5个万亿级支柱产业，构建四川现代产业体系主体架构。在电子信息产业方面，重点聚焦集成电路与新型显示、新一代网络技术、大数据、软件和信息服务等领域；在装备制造产业方面，加快发展航空与燃机、轨道交通、智能装备等高端装备制造业；在食品饮料产业方面，推动优质白酒等创新发展，建设全国重要的白酒生产基地；在能源化工产业方面，加快开发天然气（页岩气），促进大宗化工原料向精细化工转型，积极发展盐化工、硫磷钛化工等，加快建设国家重要的优质清洁能源基地和绿色化工产业基地。泸县经济开发区着力发展的产业与四川省现代产业体系构建高度契合，必将得到相关产业在大企业大集团做优做强、中小微企业梯度培育、产业创新平台建设、产业核心关键技术攻关、科技成果转移转化等领域的政策、资金、人才等的强力支持，迎来跨越式发展的机遇。</w:t>
      </w:r>
    </w:p>
    <w:p>
      <w:pPr>
        <w:adjustRightInd w:val="0"/>
        <w:snapToGrid w:val="0"/>
        <w:spacing w:line="360" w:lineRule="auto"/>
        <w:rPr>
          <w:rFonts w:ascii="黑体" w:hAnsi="黑体" w:eastAsia="黑体"/>
          <w:sz w:val="32"/>
          <w:szCs w:val="32"/>
        </w:rPr>
      </w:pPr>
      <w:r>
        <w:rPr>
          <w:rFonts w:hint="eastAsia" w:ascii="黑体" w:hAnsi="黑体" w:eastAsia="黑体"/>
          <w:sz w:val="32"/>
          <w:szCs w:val="32"/>
        </w:rPr>
        <w:t>三、区位优势和交通条件改善带来的机遇</w:t>
      </w:r>
    </w:p>
    <w:p>
      <w:pPr>
        <w:adjustRightInd w:val="0"/>
        <w:snapToGrid w:val="0"/>
        <w:spacing w:line="360" w:lineRule="auto"/>
        <w:ind w:firstLine="600" w:firstLineChars="200"/>
        <w:rPr>
          <w:rFonts w:ascii="仿宋" w:hAnsi="仿宋" w:eastAsia="仿宋"/>
          <w:sz w:val="30"/>
          <w:szCs w:val="30"/>
        </w:rPr>
      </w:pPr>
      <w:r>
        <w:rPr>
          <w:rFonts w:hint="eastAsia" w:ascii="仿宋" w:hAnsi="仿宋" w:eastAsia="仿宋"/>
          <w:sz w:val="30"/>
          <w:szCs w:val="30"/>
        </w:rPr>
        <w:t>泸县位于川渝黔结合部、成渝地区双城经济圈核心地带、长江经济带上游，距离国家两大</w:t>
      </w:r>
      <w:r>
        <w:rPr>
          <w:rFonts w:eastAsia="仿宋"/>
          <w:sz w:val="30"/>
          <w:szCs w:val="30"/>
        </w:rPr>
        <w:t>中心城市成都与重庆分别约219公里、130公里，是成都2小时经济圈、重庆1小时经济圈的重要节点，也是四川沿长江经济带向东开放的重要港口城市与川渝地区向南亚、东南亚开放的前沿岗哨和战略支点</w:t>
      </w:r>
      <w:r>
        <w:rPr>
          <w:rFonts w:hint="eastAsia" w:ascii="仿宋" w:hAnsi="仿宋" w:eastAsia="仿宋"/>
          <w:sz w:val="30"/>
          <w:szCs w:val="30"/>
        </w:rPr>
        <w:t>。泸县经济开发区城西工业园位于泸县县城城西，距离最近</w:t>
      </w:r>
      <w:r>
        <w:rPr>
          <w:rFonts w:eastAsia="仿宋"/>
          <w:sz w:val="30"/>
          <w:szCs w:val="30"/>
        </w:rPr>
        <w:t>高速公路</w:t>
      </w:r>
      <w:r>
        <w:rPr>
          <w:rFonts w:hint="eastAsia" w:eastAsia="仿宋"/>
          <w:sz w:val="30"/>
          <w:szCs w:val="30"/>
        </w:rPr>
        <w:t>厦</w:t>
      </w:r>
      <w:r>
        <w:rPr>
          <w:rFonts w:eastAsia="仿宋"/>
          <w:sz w:val="30"/>
          <w:szCs w:val="30"/>
        </w:rPr>
        <w:t>蓉高速泸县出入口仅2公里，距货运专线隆黄铁路泸州站22公里，距川南城际铁路泸县站3公里，距渝昆高铁泸州东站和泸州站分别为25公里和22公里，距四川第三大航空港——泸州云龙机场15公里</w:t>
      </w:r>
      <w:r>
        <w:rPr>
          <w:rFonts w:hint="eastAsia" w:eastAsia="仿宋"/>
          <w:sz w:val="30"/>
          <w:szCs w:val="30"/>
        </w:rPr>
        <w:t>；</w:t>
      </w:r>
      <w:r>
        <w:rPr>
          <w:rFonts w:eastAsia="仿宋"/>
          <w:sz w:val="30"/>
          <w:szCs w:val="30"/>
        </w:rPr>
        <w:t>神仙桥产业园位于泸县东南方向，区位交通优越，拥有四川长江北岸唯一的千吨级散杂件码头——神仙桥码</w:t>
      </w:r>
      <w:r>
        <w:rPr>
          <w:rFonts w:hint="eastAsia" w:eastAsia="仿宋"/>
          <w:sz w:val="30"/>
          <w:szCs w:val="30"/>
        </w:rPr>
        <w:t>头</w:t>
      </w:r>
      <w:r>
        <w:rPr>
          <w:rFonts w:eastAsia="仿宋"/>
          <w:sz w:val="30"/>
          <w:szCs w:val="30"/>
        </w:rPr>
        <w:t>，距离云龙机场17公里，与泸州市江阳区隔江相望，距离泸州市20公里，距离泸州站17公里，距离泸州东站13公里，交通更加便捷。</w:t>
      </w:r>
      <w:r>
        <w:rPr>
          <w:rFonts w:hint="eastAsia" w:ascii="仿宋" w:hAnsi="仿宋" w:eastAsia="仿宋"/>
          <w:sz w:val="30"/>
          <w:szCs w:val="30"/>
        </w:rPr>
        <w:t>良好的区位优势以及公、铁、空、水四位一体的外部交通运输网络，为</w:t>
      </w:r>
      <w:r>
        <w:rPr>
          <w:rFonts w:eastAsia="仿宋"/>
          <w:sz w:val="30"/>
          <w:szCs w:val="30"/>
        </w:rPr>
        <w:t>泸县经济</w:t>
      </w:r>
      <w:r>
        <w:rPr>
          <w:rFonts w:hint="eastAsia" w:ascii="仿宋" w:hAnsi="仿宋" w:eastAsia="仿宋"/>
          <w:sz w:val="30"/>
          <w:szCs w:val="30"/>
        </w:rPr>
        <w:t>开发区深度融入成渝双城和泸州市主城区发展，充分利用自贸试验区川南临港片区发展机遇共享人才、资本、信息、技术等要素和园区运营模式、服务模式等服务红利以及实现园区与泸州国家高新区协同互动发展提供了更大的便利。</w:t>
      </w:r>
    </w:p>
    <w:p>
      <w:pPr>
        <w:adjustRightInd w:val="0"/>
        <w:snapToGrid w:val="0"/>
        <w:spacing w:line="360" w:lineRule="auto"/>
        <w:rPr>
          <w:rFonts w:ascii="黑体" w:hAnsi="黑体" w:eastAsia="黑体"/>
          <w:sz w:val="32"/>
          <w:szCs w:val="32"/>
        </w:rPr>
      </w:pPr>
      <w:r>
        <w:rPr>
          <w:rFonts w:hint="eastAsia" w:ascii="黑体" w:hAnsi="黑体" w:eastAsia="黑体"/>
          <w:sz w:val="32"/>
          <w:szCs w:val="32"/>
        </w:rPr>
        <w:t>四、特色化工园区建设加快推进带来的机遇</w:t>
      </w:r>
    </w:p>
    <w:p>
      <w:pPr>
        <w:pStyle w:val="143"/>
        <w:adjustRightInd w:val="0"/>
        <w:snapToGrid w:val="0"/>
        <w:spacing w:line="360" w:lineRule="auto"/>
        <w:ind w:firstLine="600" w:firstLineChars="200"/>
        <w:rPr>
          <w:rFonts w:ascii="仿宋" w:hAnsi="仿宋" w:eastAsia="仿宋" w:cs="宋体"/>
          <w:kern w:val="0"/>
          <w:sz w:val="30"/>
          <w:szCs w:val="30"/>
        </w:rPr>
      </w:pPr>
      <w:r>
        <w:rPr>
          <w:rFonts w:ascii="Times New Roman" w:hAnsi="Times New Roman" w:eastAsia="仿宋"/>
          <w:kern w:val="0"/>
          <w:sz w:val="30"/>
          <w:szCs w:val="30"/>
        </w:rPr>
        <w:t>2019年四川省出台《绿色化工产业培育方案》，将打造</w:t>
      </w:r>
      <w:r>
        <w:rPr>
          <w:rFonts w:hint="eastAsia" w:ascii="Times New Roman" w:hAnsi="Times New Roman" w:eastAsia="仿宋"/>
          <w:kern w:val="0"/>
          <w:sz w:val="30"/>
          <w:szCs w:val="30"/>
        </w:rPr>
        <w:t>包括</w:t>
      </w:r>
      <w:r>
        <w:rPr>
          <w:rFonts w:ascii="Times New Roman" w:hAnsi="Times New Roman" w:eastAsia="仿宋"/>
          <w:kern w:val="0"/>
          <w:sz w:val="30"/>
          <w:szCs w:val="30"/>
        </w:rPr>
        <w:t>泸州在内的8个</w:t>
      </w:r>
      <w:r>
        <w:rPr>
          <w:rFonts w:hint="eastAsia" w:ascii="仿宋" w:hAnsi="仿宋" w:eastAsia="仿宋" w:cs="宋体"/>
          <w:kern w:val="0"/>
          <w:sz w:val="30"/>
          <w:szCs w:val="30"/>
        </w:rPr>
        <w:t>千亿级绿色化工产业基地，其中，川南经济区主要推进川南传统化工转型升级，发展精细化学品、重油(沥青)加工、现代煤化工、现代氯碱化工、氟化工、化工新材料等化工产业。泸州市沿长江干线及主要支流岸线1公里范围内现有化工企业25户，诸如鑫福化工等企业急需搬迁进入合规园区。另外，“十三五”时期，泸县经济开发区特别是包括了化工“园中园”的神仙桥产业园针对生态保护作了大量投资，成为了获得四川省生态环境厅环评批文的有化工产业的园区，具备化工产业发展基础和承接化工产业转移、退城入园的基本条件，可有序引导泸州现有化工企业升级改造后搬迁入园，严格筛选、招引实力雄厚和具有高新技术的企业，使神仙桥产业园成为川南地区重要的化工产业转移承载基地，将有利于推进泸州化工产业的转型升级和高质量发展，实现泸县经济开发区发展质量和经济效益双跨越。</w:t>
      </w:r>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7" w:name="_Toc91676426"/>
      <w:bookmarkStart w:id="8" w:name="_Toc66118506"/>
      <w:r>
        <w:rPr>
          <w:rFonts w:hint="eastAsia" w:ascii="黑体" w:hAnsi="黑体" w:eastAsia="黑体" w:cs="Times New Roman"/>
          <w:bCs w:val="0"/>
          <w:color w:val="000000"/>
        </w:rPr>
        <w:t xml:space="preserve">第三节 </w:t>
      </w:r>
      <w:r>
        <w:rPr>
          <w:rFonts w:ascii="黑体" w:hAnsi="黑体" w:eastAsia="黑体" w:cs="Times New Roman"/>
          <w:bCs w:val="0"/>
          <w:color w:val="000000"/>
        </w:rPr>
        <w:t xml:space="preserve"> </w:t>
      </w:r>
      <w:r>
        <w:rPr>
          <w:rFonts w:hint="eastAsia" w:ascii="黑体" w:hAnsi="黑体" w:eastAsia="黑体" w:cs="Times New Roman"/>
          <w:bCs w:val="0"/>
          <w:color w:val="000000"/>
        </w:rPr>
        <w:t>“十四五”时期面临挑战</w:t>
      </w:r>
      <w:bookmarkEnd w:id="7"/>
      <w:bookmarkEnd w:id="8"/>
    </w:p>
    <w:p>
      <w:pPr>
        <w:adjustRightInd w:val="0"/>
        <w:snapToGrid w:val="0"/>
        <w:spacing w:line="360" w:lineRule="auto"/>
        <w:ind w:firstLine="561"/>
        <w:rPr>
          <w:rFonts w:ascii="仿宋" w:hAnsi="仿宋" w:eastAsia="仿宋"/>
          <w:sz w:val="30"/>
          <w:szCs w:val="30"/>
        </w:rPr>
      </w:pPr>
      <w:r>
        <w:rPr>
          <w:rFonts w:hint="eastAsia" w:ascii="仿宋" w:hAnsi="仿宋" w:eastAsia="仿宋"/>
          <w:sz w:val="30"/>
          <w:szCs w:val="30"/>
        </w:rPr>
        <w:t>“十四五”时期，泸县经济开发区需要充分认识、积极应对未来五年乃至更长一段时间所面临的挑战，使开发区的各项工作适应新常态、取得新突破。</w:t>
      </w:r>
    </w:p>
    <w:p>
      <w:pPr>
        <w:adjustRightInd w:val="0"/>
        <w:snapToGrid w:val="0"/>
        <w:spacing w:line="360" w:lineRule="auto"/>
        <w:rPr>
          <w:rFonts w:ascii="黑体" w:hAnsi="黑体" w:eastAsia="黑体"/>
          <w:sz w:val="32"/>
          <w:szCs w:val="32"/>
        </w:rPr>
      </w:pPr>
      <w:r>
        <w:rPr>
          <w:rFonts w:hint="eastAsia" w:ascii="黑体" w:hAnsi="黑体" w:eastAsia="黑体"/>
          <w:sz w:val="32"/>
          <w:szCs w:val="32"/>
        </w:rPr>
        <w:t>一、经济下行压力长期存在</w:t>
      </w:r>
    </w:p>
    <w:p>
      <w:pPr>
        <w:pStyle w:val="143"/>
        <w:adjustRightInd w:val="0"/>
        <w:snapToGrid w:val="0"/>
        <w:spacing w:line="360" w:lineRule="auto"/>
        <w:ind w:firstLine="600" w:firstLineChars="200"/>
        <w:rPr>
          <w:rFonts w:ascii="仿宋" w:hAnsi="仿宋" w:eastAsia="仿宋" w:cs="宋体"/>
          <w:kern w:val="0"/>
          <w:sz w:val="30"/>
          <w:szCs w:val="30"/>
        </w:rPr>
      </w:pPr>
      <w:r>
        <w:rPr>
          <w:rFonts w:hint="eastAsia" w:ascii="仿宋" w:hAnsi="仿宋" w:eastAsia="仿宋" w:cs="宋体"/>
          <w:kern w:val="0"/>
          <w:sz w:val="30"/>
          <w:szCs w:val="30"/>
        </w:rPr>
        <w:t>从国际环境看，全球金融危机后复苏疲弱态势未有明显改观，新冠疫情带来的经济下滑压力和不确定性增大，贸易保护主义抬头，外商外资的投资信心不足；从国内环境看，我国宏观经济运行全面进入“新常态”，投资增长后劲不足、融资瓶颈约束明显、企业经营困难等问题突出，经济下行压力和风险依然较大，而且将在较长时间内维持。在新常态下，企业投资和居民消费意愿放缓，传统产业产能过剩局面难以化解，给泸县经济开发区招商引资、项目建设、要素保障等带来了严峻的挑战。</w:t>
      </w:r>
    </w:p>
    <w:p>
      <w:pPr>
        <w:adjustRightInd w:val="0"/>
        <w:snapToGrid w:val="0"/>
        <w:spacing w:line="360" w:lineRule="auto"/>
        <w:rPr>
          <w:rFonts w:ascii="黑体" w:hAnsi="黑体" w:eastAsia="黑体"/>
          <w:sz w:val="32"/>
          <w:szCs w:val="32"/>
        </w:rPr>
      </w:pPr>
      <w:r>
        <w:rPr>
          <w:rFonts w:hint="eastAsia" w:ascii="黑体" w:hAnsi="黑体" w:eastAsia="黑体"/>
          <w:sz w:val="32"/>
          <w:szCs w:val="32"/>
        </w:rPr>
        <w:t>二、节能减排力度不断加大</w:t>
      </w:r>
    </w:p>
    <w:p>
      <w:pPr>
        <w:pStyle w:val="143"/>
        <w:adjustRightInd w:val="0"/>
        <w:snapToGrid w:val="0"/>
        <w:spacing w:line="360" w:lineRule="auto"/>
        <w:ind w:firstLine="600" w:firstLineChars="200"/>
        <w:rPr>
          <w:rFonts w:ascii="仿宋" w:hAnsi="仿宋" w:eastAsia="仿宋" w:cs="宋体"/>
          <w:kern w:val="0"/>
          <w:sz w:val="30"/>
          <w:szCs w:val="30"/>
        </w:rPr>
      </w:pPr>
      <w:r>
        <w:rPr>
          <w:rFonts w:ascii="仿宋" w:hAnsi="仿宋" w:eastAsia="仿宋" w:cs="宋体"/>
          <w:kern w:val="0"/>
          <w:sz w:val="30"/>
          <w:szCs w:val="30"/>
        </w:rPr>
        <w:t>2020 年中央经济工作会议将“做好碳达峰、碳中和工作”列为 2021 年的重点任务之一</w:t>
      </w:r>
      <w:r>
        <w:rPr>
          <w:rFonts w:hint="eastAsia" w:ascii="仿宋" w:hAnsi="仿宋" w:eastAsia="仿宋" w:cs="宋体"/>
          <w:kern w:val="0"/>
          <w:sz w:val="30"/>
          <w:szCs w:val="30"/>
        </w:rPr>
        <w:t>，</w:t>
      </w:r>
      <w:r>
        <w:rPr>
          <w:rFonts w:ascii="仿宋" w:hAnsi="仿宋" w:eastAsia="仿宋" w:cs="宋体"/>
          <w:kern w:val="0"/>
          <w:sz w:val="30"/>
          <w:szCs w:val="30"/>
        </w:rPr>
        <w:t>提出我国二氧化碳排放力争2030年前达到峰值，2060年前实现碳中和</w:t>
      </w:r>
      <w:r>
        <w:rPr>
          <w:rFonts w:hint="eastAsia" w:ascii="仿宋" w:hAnsi="仿宋" w:eastAsia="仿宋" w:cs="宋体"/>
          <w:kern w:val="0"/>
          <w:sz w:val="30"/>
          <w:szCs w:val="30"/>
        </w:rPr>
        <w:t>，这就要求我们</w:t>
      </w:r>
      <w:r>
        <w:rPr>
          <w:rFonts w:ascii="仿宋" w:hAnsi="仿宋" w:eastAsia="仿宋" w:cs="宋体"/>
          <w:kern w:val="0"/>
          <w:sz w:val="30"/>
          <w:szCs w:val="30"/>
        </w:rPr>
        <w:t>从高碳社会向低碳甚至零碳社会转变</w:t>
      </w:r>
      <w:r>
        <w:rPr>
          <w:rFonts w:hint="eastAsia" w:ascii="仿宋" w:hAnsi="仿宋" w:eastAsia="仿宋" w:cs="宋体"/>
          <w:kern w:val="0"/>
          <w:sz w:val="30"/>
          <w:szCs w:val="30"/>
        </w:rPr>
        <w:t>，加大节能减排力度。同时，随着国家“水十条”、“土十条”的颁布实施，环境保护成为一条不可逾越的红线。泸县经济开发区所处的濑溪河流域、长江流域的环境容量有限，使园区特别是神仙桥产业园高耗能产业发展面临不小的节能减排压力。</w:t>
      </w:r>
    </w:p>
    <w:p>
      <w:pPr>
        <w:adjustRightInd w:val="0"/>
        <w:snapToGrid w:val="0"/>
        <w:spacing w:line="360" w:lineRule="auto"/>
        <w:rPr>
          <w:rFonts w:ascii="黑体" w:hAnsi="黑体" w:eastAsia="黑体"/>
          <w:sz w:val="32"/>
          <w:szCs w:val="32"/>
        </w:rPr>
      </w:pPr>
      <w:r>
        <w:rPr>
          <w:rFonts w:hint="eastAsia" w:ascii="黑体" w:hAnsi="黑体" w:eastAsia="黑体"/>
          <w:sz w:val="32"/>
          <w:szCs w:val="32"/>
        </w:rPr>
        <w:t>三、化工园区建设任务艰巨</w:t>
      </w:r>
    </w:p>
    <w:p>
      <w:pPr>
        <w:pStyle w:val="143"/>
        <w:adjustRightInd w:val="0"/>
        <w:snapToGrid w:val="0"/>
        <w:spacing w:line="360" w:lineRule="auto"/>
        <w:ind w:firstLine="600" w:firstLineChars="200"/>
        <w:rPr>
          <w:rFonts w:ascii="仿宋" w:hAnsi="仿宋" w:eastAsia="仿宋" w:cs="宋体"/>
          <w:kern w:val="0"/>
          <w:sz w:val="30"/>
          <w:szCs w:val="30"/>
        </w:rPr>
      </w:pPr>
      <w:r>
        <w:rPr>
          <w:rFonts w:hint="eastAsia" w:ascii="仿宋" w:hAnsi="仿宋" w:eastAsia="仿宋" w:cs="宋体"/>
          <w:kern w:val="0"/>
          <w:sz w:val="30"/>
          <w:szCs w:val="30"/>
        </w:rPr>
        <w:t>泸县经济开发区扩区调位后的神仙桥产业园包括一个化工“园中园”。</w:t>
      </w:r>
      <w:r>
        <w:rPr>
          <w:rFonts w:ascii="仿宋" w:hAnsi="仿宋" w:eastAsia="仿宋" w:cs="宋体"/>
          <w:kern w:val="0"/>
          <w:sz w:val="30"/>
          <w:szCs w:val="30"/>
        </w:rPr>
        <w:t>化工园区因其产业特殊性</w:t>
      </w:r>
      <w:r>
        <w:rPr>
          <w:rFonts w:hint="eastAsia" w:ascii="仿宋" w:hAnsi="仿宋" w:eastAsia="仿宋" w:cs="宋体"/>
          <w:kern w:val="0"/>
          <w:sz w:val="30"/>
          <w:szCs w:val="30"/>
        </w:rPr>
        <w:t>，</w:t>
      </w:r>
      <w:r>
        <w:rPr>
          <w:rFonts w:ascii="仿宋" w:hAnsi="仿宋" w:eastAsia="仿宋" w:cs="宋体"/>
          <w:kern w:val="0"/>
          <w:sz w:val="30"/>
          <w:szCs w:val="30"/>
        </w:rPr>
        <w:t>加强</w:t>
      </w:r>
      <w:r>
        <w:rPr>
          <w:rFonts w:hint="eastAsia" w:ascii="仿宋" w:hAnsi="仿宋" w:eastAsia="仿宋" w:cs="宋体"/>
          <w:kern w:val="0"/>
          <w:sz w:val="30"/>
          <w:szCs w:val="30"/>
        </w:rPr>
        <w:t>安全生产和节能减排</w:t>
      </w:r>
      <w:r>
        <w:rPr>
          <w:rFonts w:ascii="仿宋" w:hAnsi="仿宋" w:eastAsia="仿宋" w:cs="宋体"/>
          <w:kern w:val="0"/>
          <w:sz w:val="30"/>
          <w:szCs w:val="30"/>
        </w:rPr>
        <w:t>尤为重要</w:t>
      </w:r>
      <w:r>
        <w:rPr>
          <w:rFonts w:hint="eastAsia" w:ascii="仿宋" w:hAnsi="仿宋" w:eastAsia="仿宋" w:cs="宋体"/>
          <w:kern w:val="0"/>
          <w:sz w:val="30"/>
          <w:szCs w:val="30"/>
        </w:rPr>
        <w:t>。因此，严格按照相关法律法规和标准规范，</w:t>
      </w:r>
      <w:r>
        <w:rPr>
          <w:rFonts w:ascii="仿宋" w:hAnsi="仿宋" w:eastAsia="仿宋" w:cs="宋体"/>
          <w:kern w:val="0"/>
          <w:sz w:val="30"/>
          <w:szCs w:val="30"/>
        </w:rPr>
        <w:t>以一体化和集聚化为目标，从产业</w:t>
      </w:r>
      <w:r>
        <w:rPr>
          <w:rFonts w:hint="eastAsia" w:ascii="仿宋" w:hAnsi="仿宋" w:eastAsia="仿宋" w:cs="宋体"/>
          <w:kern w:val="0"/>
          <w:sz w:val="30"/>
          <w:szCs w:val="30"/>
        </w:rPr>
        <w:t>结构优化</w:t>
      </w:r>
      <w:r>
        <w:rPr>
          <w:rFonts w:ascii="仿宋" w:hAnsi="仿宋" w:eastAsia="仿宋" w:cs="宋体"/>
          <w:kern w:val="0"/>
          <w:sz w:val="30"/>
          <w:szCs w:val="30"/>
        </w:rPr>
        <w:t>、配套设施</w:t>
      </w:r>
      <w:r>
        <w:rPr>
          <w:rFonts w:hint="eastAsia" w:ascii="仿宋" w:hAnsi="仿宋" w:eastAsia="仿宋" w:cs="宋体"/>
          <w:kern w:val="0"/>
          <w:sz w:val="30"/>
          <w:szCs w:val="30"/>
        </w:rPr>
        <w:t>建设</w:t>
      </w:r>
      <w:r>
        <w:rPr>
          <w:rFonts w:ascii="仿宋" w:hAnsi="仿宋" w:eastAsia="仿宋" w:cs="宋体"/>
          <w:kern w:val="0"/>
          <w:sz w:val="30"/>
          <w:szCs w:val="30"/>
        </w:rPr>
        <w:t>、物流运输</w:t>
      </w:r>
      <w:r>
        <w:rPr>
          <w:rFonts w:hint="eastAsia" w:ascii="仿宋" w:hAnsi="仿宋" w:eastAsia="仿宋" w:cs="宋体"/>
          <w:kern w:val="0"/>
          <w:sz w:val="30"/>
          <w:szCs w:val="30"/>
        </w:rPr>
        <w:t>规划</w:t>
      </w:r>
      <w:r>
        <w:rPr>
          <w:rFonts w:ascii="仿宋" w:hAnsi="仿宋" w:eastAsia="仿宋" w:cs="宋体"/>
          <w:kern w:val="0"/>
          <w:sz w:val="30"/>
          <w:szCs w:val="30"/>
        </w:rPr>
        <w:t>、安全</w:t>
      </w:r>
      <w:r>
        <w:rPr>
          <w:rFonts w:hint="eastAsia" w:ascii="仿宋" w:hAnsi="仿宋" w:eastAsia="仿宋" w:cs="宋体"/>
          <w:kern w:val="0"/>
          <w:sz w:val="30"/>
          <w:szCs w:val="30"/>
        </w:rPr>
        <w:t>生产管控、应急救援处置、节能减排降耗</w:t>
      </w:r>
      <w:r>
        <w:rPr>
          <w:rFonts w:ascii="仿宋" w:hAnsi="仿宋" w:eastAsia="仿宋" w:cs="宋体"/>
          <w:kern w:val="0"/>
          <w:sz w:val="30"/>
          <w:szCs w:val="30"/>
        </w:rPr>
        <w:t>和</w:t>
      </w:r>
      <w:r>
        <w:rPr>
          <w:rFonts w:hint="eastAsia" w:ascii="仿宋" w:hAnsi="仿宋" w:eastAsia="仿宋" w:cs="宋体"/>
          <w:kern w:val="0"/>
          <w:sz w:val="30"/>
          <w:szCs w:val="30"/>
        </w:rPr>
        <w:t>专业</w:t>
      </w:r>
      <w:r>
        <w:rPr>
          <w:rFonts w:ascii="仿宋" w:hAnsi="仿宋" w:eastAsia="仿宋" w:cs="宋体"/>
          <w:kern w:val="0"/>
          <w:sz w:val="30"/>
          <w:szCs w:val="30"/>
        </w:rPr>
        <w:t>管理服务等方面着手构建专业园区，</w:t>
      </w:r>
      <w:r>
        <w:rPr>
          <w:rFonts w:hint="eastAsia" w:ascii="仿宋" w:hAnsi="仿宋" w:eastAsia="仿宋" w:cs="宋体"/>
          <w:kern w:val="0"/>
          <w:sz w:val="30"/>
          <w:szCs w:val="30"/>
        </w:rPr>
        <w:t>切实做好化工“园中园”的安全生产管控，增强安全应急保障能力，防范危险化学品重特大安全事故，实现化工产业的绿色、安全、高质量发展，是泸县经济开发区面临的一项艰巨任务。</w:t>
      </w:r>
    </w:p>
    <w:p>
      <w:pPr>
        <w:rPr>
          <w:rFonts w:ascii="Calibri" w:hAnsi="Calibri"/>
          <w:szCs w:val="22"/>
        </w:rPr>
      </w:pPr>
      <w:r>
        <w:br w:type="page"/>
      </w:r>
    </w:p>
    <w:p>
      <w:pPr>
        <w:pStyle w:val="2"/>
        <w:adjustRightInd w:val="0"/>
        <w:snapToGrid w:val="0"/>
        <w:spacing w:beforeLines="50" w:afterLines="50" w:line="360" w:lineRule="auto"/>
        <w:jc w:val="center"/>
        <w:rPr>
          <w:rFonts w:ascii="黑体" w:hAnsi="黑体" w:eastAsia="黑体"/>
          <w:bCs w:val="0"/>
          <w:color w:val="000000"/>
          <w:kern w:val="2"/>
        </w:rPr>
      </w:pPr>
      <w:bookmarkStart w:id="9" w:name="_Toc91676427"/>
      <w:bookmarkStart w:id="10" w:name="_Toc66118507"/>
      <w:r>
        <w:rPr>
          <w:rFonts w:hint="eastAsia" w:ascii="黑体" w:hAnsi="黑体" w:eastAsia="黑体"/>
          <w:bCs w:val="0"/>
          <w:color w:val="000000"/>
          <w:kern w:val="2"/>
        </w:rPr>
        <w:t xml:space="preserve">第二章 </w:t>
      </w:r>
      <w:r>
        <w:rPr>
          <w:rFonts w:ascii="黑体" w:hAnsi="黑体" w:eastAsia="黑体"/>
          <w:bCs w:val="0"/>
          <w:color w:val="000000"/>
          <w:kern w:val="2"/>
        </w:rPr>
        <w:t xml:space="preserve"> </w:t>
      </w:r>
      <w:r>
        <w:rPr>
          <w:rFonts w:hint="eastAsia" w:ascii="黑体" w:hAnsi="黑体" w:eastAsia="黑体"/>
          <w:bCs w:val="0"/>
          <w:color w:val="000000"/>
          <w:kern w:val="2"/>
        </w:rPr>
        <w:t>总体要求</w:t>
      </w:r>
      <w:bookmarkEnd w:id="9"/>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11" w:name="_Toc91676428"/>
      <w:r>
        <w:rPr>
          <w:rFonts w:hint="eastAsia" w:ascii="黑体" w:hAnsi="黑体" w:eastAsia="黑体" w:cs="Times New Roman"/>
          <w:bCs w:val="0"/>
          <w:color w:val="000000"/>
        </w:rPr>
        <w:t xml:space="preserve">第一节 </w:t>
      </w:r>
      <w:r>
        <w:rPr>
          <w:rFonts w:ascii="黑体" w:hAnsi="黑体" w:eastAsia="黑体" w:cs="Times New Roman"/>
          <w:bCs w:val="0"/>
          <w:color w:val="000000"/>
        </w:rPr>
        <w:t xml:space="preserve"> </w:t>
      </w:r>
      <w:r>
        <w:rPr>
          <w:rFonts w:hint="eastAsia" w:ascii="黑体" w:hAnsi="黑体" w:eastAsia="黑体" w:cs="Times New Roman"/>
          <w:bCs w:val="0"/>
          <w:color w:val="000000"/>
        </w:rPr>
        <w:t>指导思想</w:t>
      </w:r>
      <w:bookmarkEnd w:id="11"/>
      <w:r>
        <w:rPr>
          <w:rFonts w:hint="eastAsia" w:ascii="黑体" w:hAnsi="黑体" w:eastAsia="黑体" w:cs="Times New Roman"/>
          <w:bCs w:val="0"/>
          <w:color w:val="000000"/>
        </w:rPr>
        <w:t xml:space="preserve"> </w:t>
      </w:r>
    </w:p>
    <w:p>
      <w:pPr>
        <w:pStyle w:val="143"/>
        <w:adjustRightInd w:val="0"/>
        <w:snapToGrid w:val="0"/>
        <w:spacing w:line="360" w:lineRule="auto"/>
        <w:ind w:firstLine="600" w:firstLineChars="200"/>
        <w:rPr>
          <w:rFonts w:ascii="仿宋" w:hAnsi="仿宋" w:eastAsia="仿宋" w:cs="宋体"/>
          <w:kern w:val="0"/>
          <w:sz w:val="30"/>
          <w:szCs w:val="30"/>
        </w:rPr>
      </w:pPr>
      <w:r>
        <w:rPr>
          <w:rFonts w:hint="eastAsia" w:ascii="仿宋" w:hAnsi="仿宋" w:eastAsia="仿宋" w:cs="宋体"/>
          <w:kern w:val="0"/>
          <w:sz w:val="30"/>
          <w:szCs w:val="30"/>
        </w:rPr>
        <w:t>坚持以习近平新时代中国特色社会主义思想为指导，深刻认识新发展阶段、新发展理念、新发展格局带来的新特征新要求，抢抓成</w:t>
      </w:r>
      <w:r>
        <w:rPr>
          <w:rFonts w:ascii="仿宋" w:hAnsi="仿宋" w:eastAsia="仿宋" w:cs="宋体"/>
          <w:kern w:val="0"/>
          <w:sz w:val="30"/>
          <w:szCs w:val="30"/>
        </w:rPr>
        <w:t>渝</w:t>
      </w:r>
      <w:r>
        <w:rPr>
          <w:rFonts w:hint="eastAsia" w:ascii="仿宋" w:hAnsi="仿宋" w:eastAsia="仿宋" w:cs="宋体"/>
          <w:kern w:val="0"/>
          <w:sz w:val="30"/>
          <w:szCs w:val="30"/>
        </w:rPr>
        <w:t>地区</w:t>
      </w:r>
      <w:r>
        <w:rPr>
          <w:rFonts w:ascii="仿宋" w:hAnsi="仿宋" w:eastAsia="仿宋" w:cs="宋体"/>
          <w:kern w:val="0"/>
          <w:sz w:val="30"/>
          <w:szCs w:val="30"/>
        </w:rPr>
        <w:t>双城经济圈建设</w:t>
      </w:r>
      <w:r>
        <w:rPr>
          <w:rFonts w:hint="eastAsia" w:ascii="仿宋" w:hAnsi="仿宋" w:eastAsia="仿宋" w:cs="宋体"/>
          <w:kern w:val="0"/>
          <w:sz w:val="30"/>
          <w:szCs w:val="30"/>
        </w:rPr>
        <w:t>、长江经济带发展、新时代西部大开发和泸州市实施“一体两翼”特色发展</w:t>
      </w:r>
      <w:r>
        <w:rPr>
          <w:rFonts w:ascii="仿宋" w:hAnsi="仿宋" w:eastAsia="仿宋" w:cs="宋体"/>
          <w:kern w:val="0"/>
          <w:sz w:val="30"/>
          <w:szCs w:val="30"/>
        </w:rPr>
        <w:t>等</w:t>
      </w:r>
      <w:r>
        <w:rPr>
          <w:rFonts w:hint="eastAsia" w:ascii="仿宋" w:hAnsi="仿宋" w:eastAsia="仿宋" w:cs="宋体"/>
          <w:kern w:val="0"/>
          <w:sz w:val="30"/>
          <w:szCs w:val="30"/>
        </w:rPr>
        <w:t>重大战略机遇，</w:t>
      </w:r>
      <w:r>
        <w:rPr>
          <w:rFonts w:hint="eastAsia" w:ascii="仿宋" w:hAnsi="仿宋" w:eastAsia="仿宋" w:cs="宋体"/>
          <w:color w:val="000000" w:themeColor="text1"/>
          <w:sz w:val="30"/>
          <w:szCs w:val="30"/>
          <w:shd w:val="clear" w:color="auto" w:fill="FFFFFF"/>
        </w:rPr>
        <w:t>坚持提升存量与优化增量并重，坚持主导产业定型与产业结构转型并举，</w:t>
      </w:r>
      <w:r>
        <w:rPr>
          <w:rFonts w:hint="eastAsia" w:ascii="仿宋" w:hAnsi="仿宋" w:eastAsia="仿宋" w:cs="宋体"/>
          <w:kern w:val="0"/>
          <w:sz w:val="30"/>
          <w:szCs w:val="30"/>
        </w:rPr>
        <w:t>围绕“产业上水平、项目见形象、发展迈大步”的定位，按照省市重大决策部署和县委县政府高质量发展的总要求，立足区域优势和产业基础，着力做大产业规模提升产业能级，着力推动“3+2”产业形成产业链和产业集群，着力促进产业融合发展和一体化发展，增强园区创新能力，促进园区质量变革、效率变革和动力变革，建成千亿产业园区、国家级经济开发区</w:t>
      </w:r>
      <w:r>
        <w:rPr>
          <w:rFonts w:ascii="仿宋" w:hAnsi="仿宋" w:eastAsia="仿宋" w:cs="宋体"/>
          <w:kern w:val="0"/>
          <w:sz w:val="30"/>
          <w:szCs w:val="30"/>
        </w:rPr>
        <w:t>。</w:t>
      </w:r>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12" w:name="_Toc91676429"/>
      <w:r>
        <w:rPr>
          <w:rFonts w:hint="eastAsia" w:ascii="黑体" w:hAnsi="黑体" w:eastAsia="黑体" w:cs="Times New Roman"/>
          <w:bCs w:val="0"/>
          <w:color w:val="000000"/>
        </w:rPr>
        <w:t xml:space="preserve">第二节 </w:t>
      </w:r>
      <w:r>
        <w:rPr>
          <w:rFonts w:ascii="黑体" w:hAnsi="黑体" w:eastAsia="黑体" w:cs="Times New Roman"/>
          <w:bCs w:val="0"/>
          <w:color w:val="000000"/>
        </w:rPr>
        <w:t xml:space="preserve"> </w:t>
      </w:r>
      <w:r>
        <w:rPr>
          <w:rFonts w:hint="eastAsia" w:ascii="黑体" w:hAnsi="黑体" w:eastAsia="黑体" w:cs="Times New Roman"/>
          <w:bCs w:val="0"/>
          <w:color w:val="000000"/>
        </w:rPr>
        <w:t>基本原则</w:t>
      </w:r>
      <w:bookmarkEnd w:id="12"/>
    </w:p>
    <w:p>
      <w:pPr>
        <w:pStyle w:val="143"/>
        <w:adjustRightInd w:val="0"/>
        <w:snapToGrid w:val="0"/>
        <w:spacing w:line="360" w:lineRule="auto"/>
        <w:ind w:firstLine="602" w:firstLineChars="200"/>
        <w:rPr>
          <w:rFonts w:ascii="仿宋" w:hAnsi="仿宋" w:eastAsia="仿宋" w:cs="宋体"/>
          <w:kern w:val="0"/>
          <w:sz w:val="30"/>
          <w:szCs w:val="30"/>
        </w:rPr>
      </w:pPr>
      <w:r>
        <w:rPr>
          <w:rFonts w:hint="eastAsia" w:ascii="仿宋" w:hAnsi="仿宋" w:eastAsia="仿宋" w:cs="宋体"/>
          <w:b/>
          <w:kern w:val="0"/>
          <w:sz w:val="30"/>
          <w:szCs w:val="30"/>
        </w:rPr>
        <w:t>坚持创新发展原则。</w:t>
      </w:r>
      <w:r>
        <w:rPr>
          <w:rFonts w:hint="eastAsia" w:ascii="仿宋" w:hAnsi="仿宋" w:eastAsia="仿宋" w:cs="宋体"/>
          <w:kern w:val="0"/>
          <w:sz w:val="30"/>
          <w:szCs w:val="30"/>
        </w:rPr>
        <w:t>不断加快供给侧结构性改革步伐，优化产业结构，推动园区资源、要素等向园区内优势企业、优势产业和优势产品集中，着力促进园区产业高质量发展；</w:t>
      </w:r>
      <w:r>
        <w:rPr>
          <w:rFonts w:ascii="仿宋" w:hAnsi="仿宋" w:eastAsia="仿宋" w:cs="宋体"/>
          <w:kern w:val="0"/>
          <w:sz w:val="30"/>
          <w:szCs w:val="30"/>
        </w:rPr>
        <w:t>加快培育创新型企业，</w:t>
      </w:r>
      <w:r>
        <w:rPr>
          <w:rFonts w:hint="eastAsia" w:ascii="仿宋" w:hAnsi="仿宋" w:eastAsia="仿宋" w:cs="宋体"/>
          <w:kern w:val="0"/>
          <w:sz w:val="30"/>
          <w:szCs w:val="30"/>
        </w:rPr>
        <w:t>积极鼓励和</w:t>
      </w:r>
      <w:r>
        <w:rPr>
          <w:rFonts w:ascii="仿宋" w:hAnsi="仿宋" w:eastAsia="仿宋" w:cs="宋体"/>
          <w:kern w:val="0"/>
          <w:sz w:val="30"/>
          <w:szCs w:val="30"/>
        </w:rPr>
        <w:t>支持企业建立工程技术中心等研发机构，着力组织自主创新产业化项目，优先选择有自主创新技术、产品能填补国内空白的项目。同时，加快园区创新载体建设，建立产学研合作平台和若干产业创新中心，加速提升行业自主创新能力。</w:t>
      </w:r>
    </w:p>
    <w:p>
      <w:pPr>
        <w:pStyle w:val="143"/>
        <w:adjustRightInd w:val="0"/>
        <w:snapToGrid w:val="0"/>
        <w:spacing w:line="360" w:lineRule="auto"/>
        <w:ind w:firstLine="602" w:firstLineChars="200"/>
        <w:rPr>
          <w:rFonts w:ascii="仿宋" w:hAnsi="仿宋" w:eastAsia="仿宋" w:cs="宋体"/>
          <w:kern w:val="0"/>
          <w:sz w:val="30"/>
          <w:szCs w:val="30"/>
        </w:rPr>
      </w:pPr>
      <w:r>
        <w:rPr>
          <w:rFonts w:hint="eastAsia" w:ascii="仿宋" w:hAnsi="仿宋" w:eastAsia="仿宋" w:cs="宋体"/>
          <w:b/>
          <w:kern w:val="0"/>
          <w:sz w:val="30"/>
          <w:szCs w:val="30"/>
        </w:rPr>
        <w:t>坚持一体化发展原则。</w:t>
      </w:r>
      <w:r>
        <w:rPr>
          <w:rFonts w:hint="eastAsia" w:ascii="仿宋" w:hAnsi="仿宋" w:eastAsia="仿宋" w:cs="宋体"/>
          <w:kern w:val="0"/>
          <w:sz w:val="30"/>
          <w:szCs w:val="30"/>
        </w:rPr>
        <w:t>积极推动园区</w:t>
      </w:r>
      <w:r>
        <w:rPr>
          <w:rFonts w:ascii="仿宋" w:hAnsi="仿宋" w:eastAsia="仿宋" w:cs="宋体"/>
          <w:kern w:val="0"/>
          <w:sz w:val="30"/>
          <w:szCs w:val="30"/>
        </w:rPr>
        <w:t>企业之间依靠规范的运作机制，形成长期稳定的协作关系，</w:t>
      </w:r>
      <w:r>
        <w:rPr>
          <w:rFonts w:hint="eastAsia" w:ascii="仿宋" w:hAnsi="仿宋" w:eastAsia="仿宋" w:cs="宋体"/>
          <w:kern w:val="0"/>
          <w:sz w:val="30"/>
          <w:szCs w:val="30"/>
        </w:rPr>
        <w:t>鼓励园区企业</w:t>
      </w:r>
      <w:r>
        <w:rPr>
          <w:rFonts w:ascii="仿宋" w:hAnsi="仿宋" w:eastAsia="仿宋" w:cs="宋体"/>
          <w:kern w:val="0"/>
          <w:sz w:val="30"/>
          <w:szCs w:val="30"/>
        </w:rPr>
        <w:t>一体化发展（即生产装置互联、上下游产品互供、管道互通、投资相互渗透），</w:t>
      </w:r>
      <w:r>
        <w:rPr>
          <w:rFonts w:hint="eastAsia" w:ascii="仿宋" w:hAnsi="仿宋" w:eastAsia="仿宋" w:cs="宋体"/>
          <w:kern w:val="0"/>
          <w:sz w:val="30"/>
          <w:szCs w:val="30"/>
        </w:rPr>
        <w:t>推动生产、能源、废物流通、物流以及基础设施的一体化，从而实现社会、经济、环境效益最优。</w:t>
      </w:r>
    </w:p>
    <w:p>
      <w:pPr>
        <w:pStyle w:val="143"/>
        <w:adjustRightInd w:val="0"/>
        <w:snapToGrid w:val="0"/>
        <w:spacing w:line="360" w:lineRule="auto"/>
        <w:ind w:firstLine="602" w:firstLineChars="200"/>
        <w:rPr>
          <w:rFonts w:ascii="仿宋" w:hAnsi="仿宋" w:eastAsia="仿宋" w:cs="宋体"/>
          <w:kern w:val="0"/>
          <w:sz w:val="30"/>
          <w:szCs w:val="30"/>
        </w:rPr>
      </w:pPr>
      <w:r>
        <w:rPr>
          <w:rFonts w:hint="eastAsia" w:ascii="仿宋" w:hAnsi="仿宋" w:eastAsia="仿宋" w:cs="宋体"/>
          <w:b/>
          <w:kern w:val="0"/>
          <w:sz w:val="30"/>
          <w:szCs w:val="30"/>
        </w:rPr>
        <w:t>坚持合理布局</w:t>
      </w:r>
      <w:r>
        <w:rPr>
          <w:rFonts w:ascii="仿宋" w:hAnsi="仿宋" w:eastAsia="仿宋" w:cs="宋体"/>
          <w:b/>
          <w:kern w:val="0"/>
          <w:sz w:val="30"/>
          <w:szCs w:val="30"/>
        </w:rPr>
        <w:t>原则</w:t>
      </w:r>
      <w:r>
        <w:rPr>
          <w:rFonts w:hint="eastAsia" w:ascii="仿宋" w:hAnsi="仿宋" w:eastAsia="仿宋" w:cs="宋体"/>
          <w:b/>
          <w:kern w:val="0"/>
          <w:sz w:val="30"/>
          <w:szCs w:val="30"/>
        </w:rPr>
        <w:t>。</w:t>
      </w:r>
      <w:r>
        <w:rPr>
          <w:rFonts w:ascii="仿宋" w:hAnsi="仿宋" w:eastAsia="仿宋" w:cs="宋体"/>
          <w:kern w:val="0"/>
          <w:sz w:val="30"/>
          <w:szCs w:val="30"/>
        </w:rPr>
        <w:t>要坚持“统一规划、合理布局、严格准入、一体化管理”的原则，做好园区的规划选址和企业布局，严格园区内企业安全准入，加强园区一体化监管，推动园区与社会协调发展。要建立“责任明确、管理高效、资源共享、保障有力”的园区安全管理工作机制，将园区内企业之间的相互影响降到最低，强化园区内企业的安全生产管控，夯实安全生产基础，加强应急救援综合能力建设，促进园区安全生产和安全发展。</w:t>
      </w:r>
    </w:p>
    <w:p>
      <w:pPr>
        <w:pStyle w:val="143"/>
        <w:adjustRightInd w:val="0"/>
        <w:snapToGrid w:val="0"/>
        <w:spacing w:line="360" w:lineRule="auto"/>
        <w:ind w:firstLine="602" w:firstLineChars="200"/>
        <w:rPr>
          <w:rFonts w:ascii="仿宋" w:hAnsi="仿宋" w:eastAsia="仿宋" w:cs="宋体"/>
          <w:kern w:val="0"/>
          <w:sz w:val="30"/>
          <w:szCs w:val="30"/>
        </w:rPr>
      </w:pPr>
      <w:r>
        <w:rPr>
          <w:rFonts w:hint="eastAsia" w:ascii="仿宋" w:hAnsi="仿宋" w:eastAsia="仿宋" w:cs="宋体"/>
          <w:b/>
          <w:kern w:val="0"/>
          <w:sz w:val="30"/>
          <w:szCs w:val="30"/>
        </w:rPr>
        <w:t>坚持土地集约利用</w:t>
      </w:r>
      <w:r>
        <w:rPr>
          <w:rFonts w:ascii="仿宋" w:hAnsi="仿宋" w:eastAsia="仿宋" w:cs="宋体"/>
          <w:b/>
          <w:kern w:val="0"/>
          <w:sz w:val="30"/>
          <w:szCs w:val="30"/>
        </w:rPr>
        <w:t>原则</w:t>
      </w:r>
      <w:r>
        <w:rPr>
          <w:rFonts w:hint="eastAsia" w:ascii="仿宋" w:hAnsi="仿宋" w:eastAsia="仿宋" w:cs="宋体"/>
          <w:b/>
          <w:kern w:val="0"/>
          <w:sz w:val="30"/>
          <w:szCs w:val="30"/>
        </w:rPr>
        <w:t>。</w:t>
      </w:r>
      <w:r>
        <w:rPr>
          <w:rFonts w:hint="eastAsia" w:ascii="仿宋" w:hAnsi="仿宋" w:eastAsia="仿宋" w:cs="宋体"/>
          <w:kern w:val="0"/>
          <w:sz w:val="30"/>
          <w:szCs w:val="30"/>
        </w:rPr>
        <w:t xml:space="preserve">强化“选商选资”意识，建立企业准入机制，从源头杜绝土地的粗放利用；坚持园区土地利用制度创新，积极推动园区土地高效集约利用，破解园区发展过程中的土地制约瓶颈。 </w:t>
      </w:r>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13" w:name="_Toc91676430"/>
      <w:r>
        <w:rPr>
          <w:rFonts w:hint="eastAsia" w:ascii="黑体" w:hAnsi="黑体" w:eastAsia="黑体" w:cs="Times New Roman"/>
          <w:bCs w:val="0"/>
          <w:color w:val="000000"/>
        </w:rPr>
        <w:t>第三节  产业定位</w:t>
      </w:r>
      <w:bookmarkEnd w:id="13"/>
    </w:p>
    <w:p>
      <w:pPr>
        <w:pStyle w:val="143"/>
        <w:adjustRightInd w:val="0"/>
        <w:snapToGrid w:val="0"/>
        <w:spacing w:line="360" w:lineRule="auto"/>
        <w:ind w:firstLine="600" w:firstLineChars="200"/>
        <w:rPr>
          <w:rFonts w:ascii="仿宋" w:hAnsi="仿宋" w:eastAsia="仿宋" w:cs="宋体"/>
          <w:kern w:val="0"/>
          <w:sz w:val="30"/>
          <w:szCs w:val="30"/>
        </w:rPr>
      </w:pPr>
      <w:r>
        <w:rPr>
          <w:rFonts w:hint="eastAsia" w:ascii="仿宋" w:hAnsi="仿宋" w:eastAsia="仿宋" w:cs="宋体"/>
          <w:kern w:val="0"/>
          <w:sz w:val="30"/>
          <w:szCs w:val="30"/>
        </w:rPr>
        <w:t xml:space="preserve">泸县经济经发区的总体定位为围绕白酒、绿色化工、新材料三大主导产业和装备制造、电子信息两大潜在优势产业，建成“五百亿健康食品产业集群和三百亿绿色化工产业集群”，成为全国重要优质白酒生产基地、成渝双城经济圈重要化工产业基地、川渝黔结合部新材料产业集聚区、泸州东翼高质量发展重要增长极。 </w:t>
      </w:r>
    </w:p>
    <w:p>
      <w:pPr>
        <w:pStyle w:val="143"/>
        <w:adjustRightInd w:val="0"/>
        <w:snapToGrid w:val="0"/>
        <w:spacing w:line="360" w:lineRule="auto"/>
        <w:ind w:firstLine="602" w:firstLineChars="200"/>
        <w:rPr>
          <w:rFonts w:ascii="仿宋" w:hAnsi="仿宋" w:eastAsia="仿宋" w:cs="宋体"/>
          <w:kern w:val="0"/>
          <w:sz w:val="30"/>
          <w:szCs w:val="30"/>
        </w:rPr>
      </w:pPr>
      <w:r>
        <w:rPr>
          <w:rFonts w:hint="eastAsia" w:ascii="仿宋" w:hAnsi="仿宋" w:eastAsia="仿宋" w:cs="宋体"/>
          <w:b/>
          <w:kern w:val="0"/>
          <w:sz w:val="30"/>
          <w:szCs w:val="30"/>
        </w:rPr>
        <w:t>全国重要优质白酒生产基地。</w:t>
      </w:r>
      <w:r>
        <w:rPr>
          <w:rFonts w:hint="eastAsia" w:ascii="仿宋" w:hAnsi="仿宋" w:eastAsia="仿宋" w:cs="宋体"/>
          <w:kern w:val="0"/>
          <w:sz w:val="30"/>
          <w:szCs w:val="30"/>
        </w:rPr>
        <w:t>以“华夏龙窖白酒产业园”为突破口，通过全产业链招商，打造“链式”产业集群，构建集绿色农业定向生产、酿酒精深加工、酿酒流通销售为一体的酿酒工业体系，形成以白酒为代表的百亿健康食品产业集群。</w:t>
      </w:r>
    </w:p>
    <w:p>
      <w:pPr>
        <w:pStyle w:val="143"/>
        <w:adjustRightInd w:val="0"/>
        <w:snapToGrid w:val="0"/>
        <w:spacing w:line="360" w:lineRule="auto"/>
        <w:ind w:firstLine="602" w:firstLineChars="200"/>
        <w:rPr>
          <w:rFonts w:ascii="仿宋" w:hAnsi="仿宋" w:eastAsia="仿宋" w:cs="宋体"/>
          <w:kern w:val="0"/>
          <w:sz w:val="30"/>
          <w:szCs w:val="30"/>
        </w:rPr>
      </w:pPr>
      <w:r>
        <w:rPr>
          <w:rFonts w:hint="eastAsia" w:ascii="仿宋" w:hAnsi="仿宋" w:eastAsia="仿宋" w:cs="宋体"/>
          <w:b/>
          <w:kern w:val="0"/>
          <w:sz w:val="30"/>
          <w:szCs w:val="30"/>
        </w:rPr>
        <w:t>成渝双城经济圈重要绿色化工产业基地。</w:t>
      </w:r>
      <w:r>
        <w:rPr>
          <w:rFonts w:hint="eastAsia" w:ascii="仿宋" w:hAnsi="仿宋" w:eastAsia="仿宋" w:cs="宋体"/>
          <w:kern w:val="0"/>
          <w:sz w:val="30"/>
          <w:szCs w:val="30"/>
        </w:rPr>
        <w:t>以神仙桥产业园为主要载体，着力搭建泸州市化工产业绿色化、循环化、综合化发展平台，以承接化工产业为突破口，形成化工产业链式、集群发展，将园区建设成为成渝双城经济圈重要绿色化工产业基地。</w:t>
      </w:r>
    </w:p>
    <w:p>
      <w:pPr>
        <w:pStyle w:val="143"/>
        <w:adjustRightInd w:val="0"/>
        <w:snapToGrid w:val="0"/>
        <w:spacing w:line="360" w:lineRule="auto"/>
        <w:ind w:firstLine="602" w:firstLineChars="200"/>
        <w:rPr>
          <w:rFonts w:ascii="仿宋" w:hAnsi="仿宋" w:eastAsia="仿宋" w:cs="宋体"/>
          <w:kern w:val="0"/>
          <w:sz w:val="30"/>
          <w:szCs w:val="30"/>
        </w:rPr>
      </w:pPr>
      <w:r>
        <w:rPr>
          <w:rFonts w:hint="eastAsia" w:ascii="仿宋" w:hAnsi="仿宋" w:eastAsia="仿宋" w:cs="宋体"/>
          <w:b/>
          <w:bCs/>
          <w:kern w:val="0"/>
          <w:sz w:val="30"/>
          <w:szCs w:val="30"/>
        </w:rPr>
        <w:t>川渝黔结合部新材料产业集聚区</w:t>
      </w:r>
      <w:r>
        <w:rPr>
          <w:rFonts w:hint="eastAsia" w:ascii="仿宋" w:hAnsi="仿宋" w:eastAsia="仿宋" w:cs="宋体"/>
          <w:kern w:val="0"/>
          <w:sz w:val="30"/>
          <w:szCs w:val="30"/>
        </w:rPr>
        <w:t>。加快推进新材料产业集群的前段领域和关键环节的突破发展，倾力打造成全国县域经济的“增长极”、新兴产业的“集聚区”和绿色发展的“先行区”。</w:t>
      </w:r>
    </w:p>
    <w:p>
      <w:pPr>
        <w:pStyle w:val="143"/>
        <w:adjustRightInd w:val="0"/>
        <w:snapToGrid w:val="0"/>
        <w:spacing w:line="360" w:lineRule="auto"/>
        <w:ind w:firstLine="602" w:firstLineChars="200"/>
        <w:rPr>
          <w:rFonts w:ascii="仿宋" w:hAnsi="仿宋" w:eastAsia="仿宋" w:cs="宋体"/>
          <w:kern w:val="0"/>
          <w:sz w:val="30"/>
          <w:szCs w:val="30"/>
        </w:rPr>
      </w:pPr>
      <w:r>
        <w:rPr>
          <w:rFonts w:hint="eastAsia" w:ascii="仿宋" w:hAnsi="仿宋" w:eastAsia="仿宋" w:cs="宋体"/>
          <w:b/>
          <w:bCs/>
          <w:kern w:val="0"/>
          <w:sz w:val="30"/>
          <w:szCs w:val="30"/>
        </w:rPr>
        <w:t>泸州东翼高质量发展的重要增长极</w:t>
      </w:r>
      <w:r>
        <w:rPr>
          <w:rFonts w:hint="eastAsia" w:ascii="仿宋" w:hAnsi="仿宋" w:eastAsia="仿宋" w:cs="宋体"/>
          <w:kern w:val="0"/>
          <w:sz w:val="30"/>
          <w:szCs w:val="30"/>
        </w:rPr>
        <w:t>。积极推动</w:t>
      </w:r>
      <w:r>
        <w:rPr>
          <w:rFonts w:hint="eastAsia" w:ascii="仿宋" w:hAnsi="仿宋" w:eastAsia="仿宋"/>
          <w:sz w:val="30"/>
          <w:szCs w:val="30"/>
        </w:rPr>
        <w:t>酿酒、绿色化工、新材料三大主导产业聚链成群发展，加快电子信息、装备制造等产业培育，着力形成主导产业突出、集群效应明显、环境不断改善的高质量发展态势，成为泸州市</w:t>
      </w:r>
      <w:r>
        <w:rPr>
          <w:rFonts w:ascii="仿宋" w:hAnsi="仿宋" w:eastAsia="仿宋" w:cs="宋体"/>
          <w:kern w:val="0"/>
          <w:sz w:val="30"/>
          <w:szCs w:val="30"/>
        </w:rPr>
        <w:t>“一体两翼”特色发展战略</w:t>
      </w:r>
      <w:r>
        <w:rPr>
          <w:rFonts w:hint="eastAsia" w:ascii="仿宋" w:hAnsi="仿宋" w:eastAsia="仿宋" w:cs="宋体"/>
          <w:kern w:val="0"/>
          <w:sz w:val="30"/>
          <w:szCs w:val="30"/>
        </w:rPr>
        <w:t>布局中东翼高质量发展的重要增长极。</w:t>
      </w:r>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14" w:name="_Toc91676431"/>
      <w:r>
        <w:rPr>
          <w:rFonts w:hint="eastAsia" w:ascii="黑体" w:hAnsi="黑体" w:eastAsia="黑体" w:cs="Times New Roman"/>
          <w:bCs w:val="0"/>
          <w:color w:val="000000"/>
        </w:rPr>
        <w:t>第四节  发展目标</w:t>
      </w:r>
      <w:bookmarkEnd w:id="14"/>
    </w:p>
    <w:p>
      <w:pPr>
        <w:adjustRightInd w:val="0"/>
        <w:snapToGrid w:val="0"/>
        <w:spacing w:line="360" w:lineRule="auto"/>
        <w:rPr>
          <w:rFonts w:ascii="黑体" w:hAnsi="黑体" w:eastAsia="黑体"/>
          <w:sz w:val="30"/>
          <w:szCs w:val="30"/>
        </w:rPr>
      </w:pPr>
      <w:r>
        <w:rPr>
          <w:rFonts w:hint="eastAsia" w:ascii="黑体" w:hAnsi="黑体" w:eastAsia="黑体"/>
          <w:sz w:val="30"/>
          <w:szCs w:val="30"/>
        </w:rPr>
        <w:t>一、“十四五”目标（2021-2025年）</w:t>
      </w:r>
    </w:p>
    <w:p>
      <w:pPr>
        <w:adjustRightInd w:val="0"/>
        <w:snapToGrid w:val="0"/>
        <w:spacing w:line="360" w:lineRule="auto"/>
        <w:ind w:firstLine="600" w:firstLineChars="200"/>
        <w:rPr>
          <w:rFonts w:ascii="仿宋" w:hAnsi="仿宋" w:eastAsia="仿宋"/>
          <w:sz w:val="30"/>
          <w:szCs w:val="30"/>
        </w:rPr>
      </w:pPr>
      <w:r>
        <w:rPr>
          <w:rFonts w:hint="eastAsia" w:ascii="仿宋" w:hAnsi="仿宋" w:eastAsia="仿宋"/>
          <w:sz w:val="30"/>
          <w:szCs w:val="30"/>
        </w:rPr>
        <w:t>紧扣“一园一主业、园园有特色”的园区建设和产业培育思路，围绕酿酒、绿色化工、新材料三大主导产业和装备制造和电子信息两大潜在优势产业，着力推动园区实现更大规模、更高质量、更可持续的发展，形成产业特色鲜明、产业基础雄厚、产业布局完善、营商环境优良、示范效应显著的新发展新格局，基本建成千亿级园区和申报成为国家级经开区。</w:t>
      </w:r>
    </w:p>
    <w:p>
      <w:pPr>
        <w:adjustRightInd w:val="0"/>
        <w:snapToGrid w:val="0"/>
        <w:spacing w:line="360" w:lineRule="auto"/>
        <w:ind w:firstLine="602" w:firstLineChars="200"/>
        <w:rPr>
          <w:rFonts w:ascii="仿宋" w:hAnsi="仿宋" w:eastAsia="仿宋"/>
          <w:sz w:val="30"/>
          <w:szCs w:val="30"/>
        </w:rPr>
      </w:pPr>
      <w:r>
        <w:rPr>
          <w:rFonts w:hint="eastAsia" w:ascii="仿宋" w:hAnsi="仿宋" w:eastAsia="仿宋"/>
          <w:b/>
          <w:sz w:val="30"/>
          <w:szCs w:val="30"/>
        </w:rPr>
        <w:t>园区实力更强。</w:t>
      </w:r>
      <w:r>
        <w:rPr>
          <w:rFonts w:hint="eastAsia" w:ascii="仿宋" w:hAnsi="仿宋" w:eastAsia="仿宋"/>
          <w:sz w:val="30"/>
          <w:szCs w:val="30"/>
        </w:rPr>
        <w:t>到2025年，园区建成区面积达到</w:t>
      </w:r>
      <w:r>
        <w:rPr>
          <w:rFonts w:ascii="仿宋" w:hAnsi="仿宋" w:eastAsia="仿宋"/>
          <w:sz w:val="30"/>
          <w:szCs w:val="30"/>
        </w:rPr>
        <w:t>10平方公里，入驻企业达到750家，</w:t>
      </w:r>
      <w:r>
        <w:rPr>
          <w:rFonts w:hint="eastAsia" w:ascii="仿宋" w:hAnsi="仿宋" w:eastAsia="仿宋"/>
          <w:sz w:val="30"/>
          <w:szCs w:val="30"/>
        </w:rPr>
        <w:t>实现产值1000亿元，其中工业总产值达900亿元，占泸县工业总产值比重的60%以上，其中绿色化工产业实现产值500亿元，酿酒实现产值300亿元，新材料产业实现产值50亿元，装备制造、电子信息等新兴战略性产业实现产值50亿元以上。</w:t>
      </w:r>
    </w:p>
    <w:p>
      <w:pPr>
        <w:adjustRightInd w:val="0"/>
        <w:snapToGrid w:val="0"/>
        <w:spacing w:line="360" w:lineRule="auto"/>
        <w:ind w:firstLine="602" w:firstLineChars="200"/>
        <w:rPr>
          <w:rFonts w:ascii="仿宋" w:hAnsi="仿宋" w:eastAsia="仿宋"/>
          <w:sz w:val="30"/>
          <w:szCs w:val="30"/>
        </w:rPr>
      </w:pPr>
      <w:r>
        <w:rPr>
          <w:rFonts w:hint="eastAsia" w:ascii="仿宋" w:hAnsi="仿宋" w:eastAsia="仿宋"/>
          <w:b/>
          <w:sz w:val="30"/>
          <w:szCs w:val="30"/>
        </w:rPr>
        <w:t>产业集群更优。</w:t>
      </w:r>
      <w:r>
        <w:rPr>
          <w:rFonts w:hint="eastAsia" w:ascii="仿宋" w:hAnsi="仿宋" w:eastAsia="仿宋"/>
          <w:sz w:val="30"/>
          <w:szCs w:val="30"/>
        </w:rPr>
        <w:t>到2025年，建成“五百亿绿色化工产业集群和三百亿白酒产业集群”，成为全国重要优质白酒生产基地、成渝双城经济圈重要化工产业基地、川渝黔结合部新材料产业集聚区、泸州东翼高质量发展的重要增长极。</w:t>
      </w:r>
    </w:p>
    <w:p>
      <w:pPr>
        <w:adjustRightInd w:val="0"/>
        <w:snapToGrid w:val="0"/>
        <w:spacing w:line="360" w:lineRule="auto"/>
        <w:ind w:firstLine="602" w:firstLineChars="200"/>
        <w:rPr>
          <w:rFonts w:ascii="仿宋" w:hAnsi="仿宋" w:eastAsia="仿宋"/>
          <w:sz w:val="30"/>
          <w:szCs w:val="30"/>
        </w:rPr>
      </w:pPr>
      <w:r>
        <w:rPr>
          <w:rFonts w:hint="eastAsia" w:ascii="仿宋" w:hAnsi="仿宋" w:eastAsia="仿宋"/>
          <w:b/>
          <w:sz w:val="30"/>
          <w:szCs w:val="30"/>
        </w:rPr>
        <w:t>企业能级更高。</w:t>
      </w:r>
      <w:r>
        <w:rPr>
          <w:rFonts w:hint="eastAsia" w:ascii="仿宋" w:hAnsi="仿宋" w:eastAsia="仿宋"/>
          <w:sz w:val="30"/>
          <w:szCs w:val="30"/>
        </w:rPr>
        <w:t>以龙头企业为主导的产业链和产业集群基本形成，到2025年，力争培育销售收入上50亿企业4户以上、上30亿企业8户以上；培育一批知名品牌，提升产业在行业中的影响力，创建省级以上企业名牌达到5个以上。</w:t>
      </w:r>
    </w:p>
    <w:p>
      <w:pPr>
        <w:adjustRightInd w:val="0"/>
        <w:snapToGrid w:val="0"/>
        <w:spacing w:line="360" w:lineRule="auto"/>
        <w:ind w:firstLine="602" w:firstLineChars="200"/>
        <w:rPr>
          <w:rFonts w:ascii="仿宋" w:hAnsi="仿宋" w:eastAsia="仿宋"/>
          <w:sz w:val="30"/>
          <w:szCs w:val="30"/>
        </w:rPr>
      </w:pPr>
      <w:r>
        <w:rPr>
          <w:rFonts w:hint="eastAsia" w:ascii="仿宋" w:hAnsi="仿宋" w:eastAsia="仿宋"/>
          <w:b/>
          <w:sz w:val="30"/>
          <w:szCs w:val="30"/>
        </w:rPr>
        <w:t>创新能力更强。</w:t>
      </w:r>
      <w:r>
        <w:rPr>
          <w:rFonts w:hint="eastAsia" w:ascii="仿宋" w:hAnsi="仿宋" w:eastAsia="仿宋"/>
          <w:sz w:val="30"/>
          <w:szCs w:val="30"/>
        </w:rPr>
        <w:t>到2025年，规模以上工业企业研发投入占主营业务收入比重3%以上，国家高新技术企业25家以上，国家科技型企业40家以上，市级科技型企业50家以上，企业年申请专利100件以上，园区企业自主创新能力显著增强，科技创新对企业转型升级的贡献率逐步提高。</w:t>
      </w:r>
    </w:p>
    <w:p>
      <w:pPr>
        <w:pStyle w:val="143"/>
        <w:adjustRightInd w:val="0"/>
        <w:snapToGrid w:val="0"/>
        <w:spacing w:line="360" w:lineRule="auto"/>
        <w:ind w:firstLine="602" w:firstLineChars="200"/>
        <w:rPr>
          <w:rFonts w:ascii="仿宋" w:hAnsi="仿宋" w:eastAsia="仿宋" w:cs="宋体"/>
          <w:kern w:val="0"/>
          <w:sz w:val="30"/>
          <w:szCs w:val="30"/>
        </w:rPr>
      </w:pPr>
      <w:r>
        <w:rPr>
          <w:rFonts w:hint="eastAsia" w:ascii="仿宋" w:hAnsi="仿宋" w:eastAsia="仿宋" w:cs="宋体"/>
          <w:b/>
          <w:kern w:val="0"/>
          <w:sz w:val="30"/>
          <w:szCs w:val="30"/>
        </w:rPr>
        <w:t>生态环境更美。</w:t>
      </w:r>
      <w:r>
        <w:rPr>
          <w:rFonts w:hint="eastAsia" w:ascii="仿宋" w:hAnsi="仿宋" w:eastAsia="仿宋" w:cs="宋体"/>
          <w:kern w:val="0"/>
          <w:sz w:val="30"/>
          <w:szCs w:val="30"/>
        </w:rPr>
        <w:t>基本建成资源节约型和环节友好型生态工业园。到</w:t>
      </w:r>
      <w:r>
        <w:rPr>
          <w:rFonts w:ascii="仿宋" w:hAnsi="仿宋" w:eastAsia="仿宋" w:cs="宋体"/>
          <w:kern w:val="0"/>
          <w:sz w:val="30"/>
          <w:szCs w:val="30"/>
        </w:rPr>
        <w:t>2025年，单位工业增加值能耗下降率</w:t>
      </w:r>
      <w:r>
        <w:rPr>
          <w:rFonts w:hint="eastAsia" w:ascii="仿宋" w:hAnsi="仿宋" w:eastAsia="仿宋" w:cs="宋体"/>
          <w:kern w:val="0"/>
          <w:sz w:val="30"/>
          <w:szCs w:val="30"/>
        </w:rPr>
        <w:t>、</w:t>
      </w:r>
      <w:r>
        <w:rPr>
          <w:rFonts w:ascii="仿宋" w:hAnsi="仿宋" w:eastAsia="仿宋" w:cs="宋体"/>
          <w:kern w:val="0"/>
          <w:sz w:val="30"/>
          <w:szCs w:val="30"/>
        </w:rPr>
        <w:t>单位工业增加值水耗下降率</w:t>
      </w:r>
      <w:r>
        <w:rPr>
          <w:rFonts w:hint="eastAsia" w:ascii="仿宋" w:hAnsi="仿宋" w:eastAsia="仿宋" w:cs="宋体"/>
          <w:kern w:val="0"/>
          <w:sz w:val="30"/>
          <w:szCs w:val="30"/>
        </w:rPr>
        <w:t>、</w:t>
      </w:r>
      <w:r>
        <w:rPr>
          <w:rFonts w:ascii="仿宋" w:hAnsi="仿宋" w:eastAsia="仿宋" w:cs="宋体"/>
          <w:kern w:val="0"/>
          <w:sz w:val="30"/>
          <w:szCs w:val="30"/>
        </w:rPr>
        <w:t>单位工业增加值碳排放量下降</w:t>
      </w:r>
      <w:r>
        <w:rPr>
          <w:rFonts w:hint="eastAsia" w:ascii="仿宋" w:hAnsi="仿宋" w:eastAsia="仿宋" w:cs="宋体"/>
          <w:kern w:val="0"/>
          <w:sz w:val="30"/>
          <w:szCs w:val="30"/>
        </w:rPr>
        <w:t>圆满完成下达任务</w:t>
      </w:r>
      <w:r>
        <w:rPr>
          <w:rFonts w:ascii="仿宋" w:hAnsi="仿宋" w:eastAsia="仿宋" w:cs="宋体"/>
          <w:kern w:val="0"/>
          <w:sz w:val="30"/>
          <w:szCs w:val="30"/>
        </w:rPr>
        <w:t>。</w:t>
      </w:r>
    </w:p>
    <w:p>
      <w:pPr>
        <w:spacing w:line="360" w:lineRule="auto"/>
      </w:pPr>
    </w:p>
    <w:p>
      <w:pPr>
        <w:spacing w:line="360" w:lineRule="auto"/>
      </w:pPr>
    </w:p>
    <w:p>
      <w:pPr>
        <w:shd w:val="clear" w:color="auto" w:fill="FFFFFF"/>
        <w:adjustRightInd w:val="0"/>
        <w:snapToGrid w:val="0"/>
        <w:spacing w:beforeLines="50" w:afterLines="50" w:line="360" w:lineRule="auto"/>
        <w:ind w:firstLine="560" w:firstLineChars="200"/>
        <w:jc w:val="center"/>
        <w:rPr>
          <w:rFonts w:ascii="黑体" w:hAnsi="黑体" w:eastAsia="黑体"/>
          <w:sz w:val="28"/>
          <w:szCs w:val="28"/>
        </w:rPr>
      </w:pPr>
      <w:r>
        <w:rPr>
          <w:rFonts w:hint="eastAsia" w:ascii="黑体" w:hAnsi="黑体" w:eastAsia="黑体"/>
          <w:sz w:val="28"/>
          <w:szCs w:val="28"/>
        </w:rPr>
        <w:t>表2-1  泸县经济开发区发展目标体系</w:t>
      </w:r>
    </w:p>
    <w:tbl>
      <w:tblPr>
        <w:tblStyle w:val="42"/>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3509"/>
        <w:gridCol w:w="1558"/>
        <w:gridCol w:w="1276"/>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vAlign w:val="center"/>
          </w:tcPr>
          <w:p>
            <w:pPr>
              <w:widowControl w:val="0"/>
              <w:adjustRightInd w:val="0"/>
              <w:snapToGrid w:val="0"/>
              <w:jc w:val="center"/>
              <w:rPr>
                <w:rFonts w:ascii="仿宋" w:hAnsi="仿宋" w:eastAsia="仿宋"/>
                <w:b/>
              </w:rPr>
            </w:pPr>
            <w:r>
              <w:rPr>
                <w:rFonts w:hint="eastAsia" w:ascii="仿宋" w:hAnsi="仿宋" w:eastAsia="仿宋"/>
                <w:b/>
              </w:rPr>
              <w:t>一级</w:t>
            </w:r>
          </w:p>
          <w:p>
            <w:pPr>
              <w:widowControl w:val="0"/>
              <w:adjustRightInd w:val="0"/>
              <w:snapToGrid w:val="0"/>
              <w:jc w:val="center"/>
              <w:rPr>
                <w:rFonts w:ascii="仿宋" w:hAnsi="仿宋" w:eastAsia="仿宋"/>
                <w:b/>
              </w:rPr>
            </w:pPr>
            <w:r>
              <w:rPr>
                <w:rFonts w:hint="eastAsia" w:ascii="仿宋" w:hAnsi="仿宋" w:eastAsia="仿宋"/>
                <w:b/>
              </w:rPr>
              <w:t>指标</w:t>
            </w:r>
          </w:p>
        </w:tc>
        <w:tc>
          <w:tcPr>
            <w:tcW w:w="3509" w:type="dxa"/>
            <w:vAlign w:val="center"/>
          </w:tcPr>
          <w:p>
            <w:pPr>
              <w:widowControl w:val="0"/>
              <w:adjustRightInd w:val="0"/>
              <w:snapToGrid w:val="0"/>
              <w:jc w:val="center"/>
              <w:rPr>
                <w:rFonts w:ascii="仿宋" w:hAnsi="仿宋" w:eastAsia="仿宋"/>
                <w:b/>
              </w:rPr>
            </w:pPr>
            <w:r>
              <w:rPr>
                <w:rFonts w:hint="eastAsia" w:ascii="仿宋" w:hAnsi="仿宋" w:eastAsia="仿宋"/>
                <w:b/>
              </w:rPr>
              <w:t>二级指标</w:t>
            </w:r>
          </w:p>
        </w:tc>
        <w:tc>
          <w:tcPr>
            <w:tcW w:w="1558" w:type="dxa"/>
            <w:vAlign w:val="center"/>
          </w:tcPr>
          <w:p>
            <w:pPr>
              <w:widowControl w:val="0"/>
              <w:adjustRightInd w:val="0"/>
              <w:snapToGrid w:val="0"/>
              <w:jc w:val="center"/>
              <w:rPr>
                <w:rFonts w:ascii="仿宋" w:hAnsi="仿宋" w:eastAsia="仿宋"/>
                <w:b/>
              </w:rPr>
            </w:pPr>
            <w:r>
              <w:rPr>
                <w:rFonts w:hint="eastAsia" w:ascii="仿宋" w:hAnsi="仿宋" w:eastAsia="仿宋"/>
                <w:b/>
              </w:rPr>
              <w:t>单位</w:t>
            </w:r>
          </w:p>
        </w:tc>
        <w:tc>
          <w:tcPr>
            <w:tcW w:w="1276" w:type="dxa"/>
            <w:vAlign w:val="center"/>
          </w:tcPr>
          <w:p>
            <w:pPr>
              <w:widowControl w:val="0"/>
              <w:adjustRightInd w:val="0"/>
              <w:snapToGrid w:val="0"/>
              <w:ind w:left="-120" w:leftChars="-50" w:right="-120" w:rightChars="-50"/>
              <w:jc w:val="center"/>
              <w:rPr>
                <w:rFonts w:ascii="仿宋" w:hAnsi="仿宋" w:eastAsia="仿宋"/>
                <w:b/>
              </w:rPr>
            </w:pPr>
            <w:r>
              <w:rPr>
                <w:rFonts w:hint="eastAsia" w:ascii="仿宋" w:hAnsi="仿宋" w:eastAsia="仿宋"/>
                <w:b/>
              </w:rPr>
              <w:t>规划基准年（2020）</w:t>
            </w:r>
          </w:p>
        </w:tc>
        <w:tc>
          <w:tcPr>
            <w:tcW w:w="1332" w:type="dxa"/>
            <w:vAlign w:val="center"/>
          </w:tcPr>
          <w:p>
            <w:pPr>
              <w:widowControl w:val="0"/>
              <w:adjustRightInd w:val="0"/>
              <w:snapToGrid w:val="0"/>
              <w:ind w:left="-120" w:leftChars="-50" w:right="-120" w:rightChars="-50"/>
              <w:jc w:val="center"/>
              <w:rPr>
                <w:rFonts w:ascii="仿宋" w:hAnsi="仿宋" w:eastAsia="仿宋"/>
                <w:b/>
              </w:rPr>
            </w:pPr>
            <w:r>
              <w:rPr>
                <w:rFonts w:hint="eastAsia" w:ascii="仿宋" w:hAnsi="仿宋" w:eastAsia="仿宋"/>
                <w:b/>
              </w:rPr>
              <w:t>规划水平年（2025）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vMerge w:val="restart"/>
            <w:vAlign w:val="center"/>
          </w:tcPr>
          <w:p>
            <w:pPr>
              <w:widowControl w:val="0"/>
              <w:spacing w:line="360" w:lineRule="auto"/>
              <w:jc w:val="center"/>
              <w:rPr>
                <w:rFonts w:ascii="仿宋" w:hAnsi="仿宋" w:eastAsia="仿宋"/>
                <w:b/>
              </w:rPr>
            </w:pPr>
            <w:r>
              <w:rPr>
                <w:rFonts w:hint="eastAsia" w:ascii="仿宋" w:hAnsi="仿宋" w:eastAsia="仿宋"/>
                <w:b/>
              </w:rPr>
              <w:t>发展</w:t>
            </w:r>
          </w:p>
          <w:p>
            <w:pPr>
              <w:widowControl w:val="0"/>
              <w:spacing w:line="360" w:lineRule="auto"/>
              <w:jc w:val="center"/>
              <w:rPr>
                <w:rFonts w:ascii="仿宋" w:hAnsi="仿宋" w:eastAsia="仿宋"/>
                <w:b/>
              </w:rPr>
            </w:pPr>
            <w:r>
              <w:rPr>
                <w:rFonts w:hint="eastAsia" w:ascii="仿宋" w:hAnsi="仿宋" w:eastAsia="仿宋"/>
                <w:b/>
              </w:rPr>
              <w:t>实效</w:t>
            </w:r>
          </w:p>
        </w:tc>
        <w:tc>
          <w:tcPr>
            <w:tcW w:w="3509" w:type="dxa"/>
            <w:vAlign w:val="center"/>
          </w:tcPr>
          <w:p>
            <w:pPr>
              <w:widowControl/>
              <w:spacing w:line="360" w:lineRule="auto"/>
              <w:jc w:val="left"/>
              <w:textAlignment w:val="center"/>
              <w:rPr>
                <w:rFonts w:ascii="仿宋" w:hAnsi="仿宋" w:eastAsia="仿宋" w:cs="方正仿宋简体"/>
                <w:color w:val="000000"/>
              </w:rPr>
            </w:pPr>
            <w:r>
              <w:rPr>
                <w:rFonts w:hint="eastAsia" w:ascii="仿宋" w:hAnsi="仿宋" w:eastAsia="仿宋" w:cs="方正仿宋简体"/>
                <w:color w:val="000000"/>
              </w:rPr>
              <w:t>营业收入总量</w:t>
            </w:r>
          </w:p>
        </w:tc>
        <w:tc>
          <w:tcPr>
            <w:tcW w:w="1558" w:type="dxa"/>
            <w:vAlign w:val="center"/>
          </w:tcPr>
          <w:p>
            <w:pPr>
              <w:widowControl/>
              <w:spacing w:line="360" w:lineRule="auto"/>
              <w:jc w:val="center"/>
              <w:textAlignment w:val="center"/>
              <w:rPr>
                <w:rFonts w:ascii="仿宋" w:hAnsi="仿宋" w:eastAsia="仿宋" w:cs="方正仿宋简体"/>
                <w:color w:val="000000"/>
              </w:rPr>
            </w:pPr>
            <w:r>
              <w:rPr>
                <w:rFonts w:hint="eastAsia" w:ascii="仿宋" w:hAnsi="仿宋" w:eastAsia="仿宋" w:cs="方正仿宋简体"/>
                <w:color w:val="000000"/>
              </w:rPr>
              <w:t>亿元</w:t>
            </w:r>
          </w:p>
        </w:tc>
        <w:tc>
          <w:tcPr>
            <w:tcW w:w="1276" w:type="dxa"/>
            <w:vAlign w:val="center"/>
          </w:tcPr>
          <w:p>
            <w:pPr>
              <w:widowControl w:val="0"/>
              <w:adjustRightInd w:val="0"/>
              <w:snapToGrid w:val="0"/>
              <w:ind w:left="-120" w:leftChars="-50" w:right="-120" w:rightChars="-50"/>
              <w:jc w:val="center"/>
              <w:rPr>
                <w:rFonts w:ascii="仿宋" w:hAnsi="仿宋" w:eastAsia="仿宋" w:cs="方正仿宋简体"/>
                <w:color w:val="000000"/>
              </w:rPr>
            </w:pPr>
            <w:r>
              <w:rPr>
                <w:rFonts w:hint="eastAsia" w:ascii="仿宋" w:hAnsi="仿宋" w:eastAsia="仿宋" w:cs="方正仿宋简体"/>
                <w:color w:val="000000"/>
              </w:rPr>
              <w:t>468.55</w:t>
            </w:r>
          </w:p>
        </w:tc>
        <w:tc>
          <w:tcPr>
            <w:tcW w:w="1332" w:type="dxa"/>
            <w:vAlign w:val="center"/>
          </w:tcPr>
          <w:p>
            <w:pPr>
              <w:widowControl w:val="0"/>
              <w:spacing w:line="360" w:lineRule="auto"/>
              <w:jc w:val="center"/>
              <w:rPr>
                <w:rFonts w:ascii="仿宋" w:hAnsi="仿宋" w:eastAsia="仿宋"/>
              </w:rPr>
            </w:pPr>
            <w:r>
              <w:rPr>
                <w:rFonts w:hint="eastAsia" w:ascii="仿宋" w:hAnsi="仿宋" w:eastAsia="仿宋"/>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vMerge w:val="continue"/>
            <w:vAlign w:val="center"/>
          </w:tcPr>
          <w:p>
            <w:pPr>
              <w:widowControl w:val="0"/>
              <w:spacing w:line="360" w:lineRule="auto"/>
              <w:jc w:val="both"/>
              <w:rPr>
                <w:rFonts w:ascii="仿宋" w:hAnsi="仿宋" w:eastAsia="仿宋"/>
              </w:rPr>
            </w:pPr>
          </w:p>
        </w:tc>
        <w:tc>
          <w:tcPr>
            <w:tcW w:w="3509" w:type="dxa"/>
            <w:vAlign w:val="center"/>
          </w:tcPr>
          <w:p>
            <w:pPr>
              <w:widowControl/>
              <w:spacing w:line="360" w:lineRule="auto"/>
              <w:jc w:val="left"/>
              <w:textAlignment w:val="center"/>
              <w:rPr>
                <w:rFonts w:ascii="仿宋" w:hAnsi="仿宋" w:eastAsia="仿宋" w:cs="方正仿宋简体"/>
                <w:color w:val="000000"/>
              </w:rPr>
            </w:pPr>
            <w:r>
              <w:rPr>
                <w:rFonts w:hint="eastAsia" w:ascii="仿宋" w:hAnsi="仿宋" w:eastAsia="仿宋" w:cs="方正仿宋简体"/>
                <w:color w:val="000000"/>
              </w:rPr>
              <w:t>税收收入总量</w:t>
            </w:r>
          </w:p>
        </w:tc>
        <w:tc>
          <w:tcPr>
            <w:tcW w:w="1558" w:type="dxa"/>
            <w:vAlign w:val="center"/>
          </w:tcPr>
          <w:p>
            <w:pPr>
              <w:widowControl/>
              <w:spacing w:line="360" w:lineRule="auto"/>
              <w:jc w:val="center"/>
              <w:textAlignment w:val="center"/>
              <w:rPr>
                <w:rFonts w:ascii="仿宋" w:hAnsi="仿宋" w:eastAsia="仿宋" w:cs="方正仿宋简体"/>
                <w:color w:val="000000"/>
              </w:rPr>
            </w:pPr>
            <w:r>
              <w:rPr>
                <w:rFonts w:hint="eastAsia" w:ascii="仿宋" w:hAnsi="仿宋" w:eastAsia="仿宋" w:cs="方正仿宋简体"/>
                <w:color w:val="000000"/>
              </w:rPr>
              <w:t>亿元</w:t>
            </w:r>
          </w:p>
        </w:tc>
        <w:tc>
          <w:tcPr>
            <w:tcW w:w="1276" w:type="dxa"/>
            <w:vAlign w:val="center"/>
          </w:tcPr>
          <w:p>
            <w:pPr>
              <w:widowControl w:val="0"/>
              <w:adjustRightInd w:val="0"/>
              <w:snapToGrid w:val="0"/>
              <w:ind w:left="-120" w:leftChars="-50" w:right="-120" w:rightChars="-50"/>
              <w:jc w:val="center"/>
              <w:rPr>
                <w:rFonts w:ascii="仿宋" w:hAnsi="仿宋" w:eastAsia="仿宋" w:cs="方正仿宋简体"/>
                <w:color w:val="000000"/>
              </w:rPr>
            </w:pPr>
            <w:r>
              <w:rPr>
                <w:rFonts w:hint="eastAsia" w:ascii="仿宋" w:hAnsi="仿宋" w:eastAsia="仿宋" w:cs="方正仿宋简体"/>
                <w:color w:val="000000"/>
              </w:rPr>
              <w:t>5.69</w:t>
            </w:r>
          </w:p>
        </w:tc>
        <w:tc>
          <w:tcPr>
            <w:tcW w:w="1332" w:type="dxa"/>
            <w:vAlign w:val="center"/>
          </w:tcPr>
          <w:p>
            <w:pPr>
              <w:widowControl w:val="0"/>
              <w:spacing w:line="360" w:lineRule="auto"/>
              <w:jc w:val="center"/>
              <w:rPr>
                <w:rFonts w:ascii="仿宋" w:hAnsi="仿宋" w:eastAsia="仿宋"/>
                <w:color w:val="FF0000"/>
              </w:rPr>
            </w:pPr>
            <w:r>
              <w:rPr>
                <w:rFonts w:hint="eastAsia" w:ascii="仿宋" w:hAnsi="仿宋" w:eastAsia="仿宋"/>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847" w:type="dxa"/>
            <w:vMerge w:val="continue"/>
            <w:vAlign w:val="center"/>
          </w:tcPr>
          <w:p>
            <w:pPr>
              <w:widowControl w:val="0"/>
              <w:spacing w:line="360" w:lineRule="auto"/>
              <w:jc w:val="both"/>
              <w:rPr>
                <w:rFonts w:ascii="仿宋" w:hAnsi="仿宋" w:eastAsia="仿宋"/>
              </w:rPr>
            </w:pPr>
          </w:p>
        </w:tc>
        <w:tc>
          <w:tcPr>
            <w:tcW w:w="3509" w:type="dxa"/>
            <w:vAlign w:val="center"/>
          </w:tcPr>
          <w:p>
            <w:pPr>
              <w:widowControl/>
              <w:spacing w:line="360" w:lineRule="auto"/>
              <w:jc w:val="left"/>
              <w:textAlignment w:val="center"/>
              <w:rPr>
                <w:rFonts w:ascii="仿宋" w:hAnsi="仿宋" w:eastAsia="仿宋" w:cs="方正仿宋简体"/>
                <w:color w:val="000000"/>
              </w:rPr>
            </w:pPr>
            <w:r>
              <w:rPr>
                <w:rFonts w:hint="eastAsia" w:ascii="仿宋" w:hAnsi="仿宋" w:eastAsia="仿宋" w:cs="方正仿宋简体"/>
                <w:color w:val="000000"/>
              </w:rPr>
              <w:t>固定资产投资总量</w:t>
            </w:r>
          </w:p>
        </w:tc>
        <w:tc>
          <w:tcPr>
            <w:tcW w:w="1558" w:type="dxa"/>
            <w:vAlign w:val="center"/>
          </w:tcPr>
          <w:p>
            <w:pPr>
              <w:widowControl/>
              <w:spacing w:line="360" w:lineRule="auto"/>
              <w:jc w:val="center"/>
              <w:textAlignment w:val="center"/>
              <w:rPr>
                <w:rFonts w:ascii="仿宋" w:hAnsi="仿宋" w:eastAsia="仿宋" w:cs="方正仿宋简体"/>
                <w:color w:val="000000"/>
              </w:rPr>
            </w:pPr>
            <w:r>
              <w:rPr>
                <w:rFonts w:hint="eastAsia" w:ascii="仿宋" w:hAnsi="仿宋" w:eastAsia="仿宋" w:cs="方正仿宋简体"/>
                <w:color w:val="000000"/>
              </w:rPr>
              <w:t>亿元</w:t>
            </w:r>
          </w:p>
        </w:tc>
        <w:tc>
          <w:tcPr>
            <w:tcW w:w="1276" w:type="dxa"/>
            <w:vAlign w:val="center"/>
          </w:tcPr>
          <w:p>
            <w:pPr>
              <w:widowControl w:val="0"/>
              <w:adjustRightInd w:val="0"/>
              <w:snapToGrid w:val="0"/>
              <w:ind w:left="-120" w:leftChars="-50" w:right="-120" w:rightChars="-50"/>
              <w:jc w:val="center"/>
              <w:rPr>
                <w:rFonts w:ascii="仿宋" w:hAnsi="仿宋" w:eastAsia="仿宋" w:cs="方正仿宋简体"/>
                <w:color w:val="000000"/>
              </w:rPr>
            </w:pPr>
            <w:r>
              <w:rPr>
                <w:rFonts w:hint="eastAsia" w:ascii="仿宋" w:hAnsi="仿宋" w:eastAsia="仿宋" w:cs="方正仿宋简体"/>
                <w:color w:val="000000"/>
              </w:rPr>
              <w:t>43.39</w:t>
            </w:r>
          </w:p>
        </w:tc>
        <w:tc>
          <w:tcPr>
            <w:tcW w:w="1332" w:type="dxa"/>
            <w:vAlign w:val="center"/>
          </w:tcPr>
          <w:p>
            <w:pPr>
              <w:widowControl w:val="0"/>
              <w:adjustRightInd w:val="0"/>
              <w:snapToGrid w:val="0"/>
              <w:ind w:left="-120" w:leftChars="-50" w:right="-120" w:rightChars="-50"/>
              <w:jc w:val="center"/>
              <w:rPr>
                <w:rFonts w:ascii="仿宋" w:hAnsi="仿宋" w:eastAsia="仿宋"/>
                <w:color w:val="FF0000"/>
              </w:rPr>
            </w:pPr>
            <w:r>
              <w:rPr>
                <w:rFonts w:hint="eastAsia" w:ascii="仿宋" w:hAnsi="仿宋" w:eastAsia="仿宋" w:cs="方正仿宋简体"/>
                <w:color w:val="000000"/>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vMerge w:val="restart"/>
            <w:vAlign w:val="center"/>
          </w:tcPr>
          <w:p>
            <w:pPr>
              <w:widowControl w:val="0"/>
              <w:spacing w:line="360" w:lineRule="auto"/>
              <w:jc w:val="center"/>
              <w:rPr>
                <w:rFonts w:ascii="仿宋" w:hAnsi="仿宋" w:eastAsia="仿宋"/>
              </w:rPr>
            </w:pPr>
            <w:r>
              <w:rPr>
                <w:rFonts w:hint="eastAsia" w:ascii="仿宋" w:hAnsi="仿宋" w:eastAsia="仿宋"/>
                <w:b/>
              </w:rPr>
              <w:t>创新能力</w:t>
            </w:r>
          </w:p>
        </w:tc>
        <w:tc>
          <w:tcPr>
            <w:tcW w:w="3509" w:type="dxa"/>
            <w:vAlign w:val="center"/>
          </w:tcPr>
          <w:p>
            <w:pPr>
              <w:widowControl/>
              <w:adjustRightInd w:val="0"/>
              <w:snapToGrid w:val="0"/>
              <w:jc w:val="left"/>
              <w:textAlignment w:val="center"/>
              <w:rPr>
                <w:rFonts w:ascii="仿宋" w:hAnsi="仿宋" w:eastAsia="仿宋" w:cs="方正仿宋简体"/>
                <w:color w:val="000000"/>
              </w:rPr>
            </w:pPr>
            <w:r>
              <w:rPr>
                <w:rFonts w:hint="eastAsia" w:ascii="仿宋" w:hAnsi="仿宋" w:eastAsia="仿宋" w:cs="方正仿宋简体"/>
                <w:color w:val="000000"/>
              </w:rPr>
              <w:t>规上工业企业研发投入占主营业务收入比重</w:t>
            </w:r>
          </w:p>
        </w:tc>
        <w:tc>
          <w:tcPr>
            <w:tcW w:w="1558" w:type="dxa"/>
            <w:vAlign w:val="center"/>
          </w:tcPr>
          <w:p>
            <w:pPr>
              <w:widowControl/>
              <w:spacing w:line="360" w:lineRule="auto"/>
              <w:jc w:val="center"/>
              <w:textAlignment w:val="center"/>
              <w:rPr>
                <w:rFonts w:ascii="仿宋" w:hAnsi="仿宋" w:eastAsia="仿宋" w:cs="方正仿宋简体"/>
                <w:color w:val="000000"/>
              </w:rPr>
            </w:pPr>
            <w:r>
              <w:rPr>
                <w:rFonts w:hint="eastAsia" w:ascii="仿宋" w:hAnsi="仿宋" w:eastAsia="仿宋" w:cs="方正仿宋简体"/>
                <w:color w:val="000000"/>
              </w:rPr>
              <w:t>%</w:t>
            </w:r>
          </w:p>
        </w:tc>
        <w:tc>
          <w:tcPr>
            <w:tcW w:w="1276" w:type="dxa"/>
            <w:vAlign w:val="center"/>
          </w:tcPr>
          <w:p>
            <w:pPr>
              <w:widowControl w:val="0"/>
              <w:adjustRightInd w:val="0"/>
              <w:snapToGrid w:val="0"/>
              <w:ind w:left="-120" w:leftChars="-50" w:right="-120" w:rightChars="-50"/>
              <w:jc w:val="center"/>
              <w:rPr>
                <w:rFonts w:ascii="仿宋" w:hAnsi="仿宋" w:eastAsia="仿宋" w:cs="方正仿宋简体"/>
                <w:color w:val="000000"/>
              </w:rPr>
            </w:pPr>
            <w:r>
              <w:rPr>
                <w:rFonts w:hint="eastAsia" w:ascii="仿宋" w:hAnsi="仿宋" w:eastAsia="仿宋" w:cs="方正仿宋简体"/>
                <w:color w:val="000000"/>
              </w:rPr>
              <w:t>1</w:t>
            </w:r>
          </w:p>
        </w:tc>
        <w:tc>
          <w:tcPr>
            <w:tcW w:w="1332" w:type="dxa"/>
            <w:vAlign w:val="center"/>
          </w:tcPr>
          <w:p>
            <w:pPr>
              <w:widowControl w:val="0"/>
              <w:adjustRightInd w:val="0"/>
              <w:snapToGrid w:val="0"/>
              <w:ind w:left="-120" w:leftChars="-50" w:right="-120" w:rightChars="-50"/>
              <w:jc w:val="center"/>
              <w:rPr>
                <w:rFonts w:ascii="仿宋" w:hAnsi="仿宋" w:eastAsia="仿宋"/>
                <w:color w:val="FF0000"/>
              </w:rPr>
            </w:pPr>
            <w:r>
              <w:rPr>
                <w:rFonts w:hint="eastAsia" w:ascii="仿宋" w:hAnsi="仿宋" w:eastAsia="仿宋" w:cs="方正仿宋简体"/>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vMerge w:val="continue"/>
            <w:vAlign w:val="center"/>
          </w:tcPr>
          <w:p>
            <w:pPr>
              <w:widowControl w:val="0"/>
              <w:spacing w:line="360" w:lineRule="auto"/>
              <w:jc w:val="both"/>
              <w:rPr>
                <w:rFonts w:ascii="仿宋" w:hAnsi="仿宋" w:eastAsia="仿宋"/>
              </w:rPr>
            </w:pPr>
          </w:p>
        </w:tc>
        <w:tc>
          <w:tcPr>
            <w:tcW w:w="3509" w:type="dxa"/>
            <w:vAlign w:val="center"/>
          </w:tcPr>
          <w:p>
            <w:pPr>
              <w:widowControl/>
              <w:spacing w:line="360" w:lineRule="auto"/>
              <w:jc w:val="left"/>
              <w:textAlignment w:val="center"/>
              <w:rPr>
                <w:rFonts w:ascii="仿宋" w:hAnsi="仿宋" w:eastAsia="仿宋" w:cs="方正仿宋简体"/>
                <w:color w:val="000000"/>
              </w:rPr>
            </w:pPr>
            <w:r>
              <w:rPr>
                <w:rFonts w:hint="eastAsia" w:ascii="仿宋" w:hAnsi="仿宋" w:eastAsia="仿宋" w:cs="方正仿宋简体"/>
                <w:color w:val="000000"/>
              </w:rPr>
              <w:t>国家高新技术企业数量</w:t>
            </w:r>
          </w:p>
        </w:tc>
        <w:tc>
          <w:tcPr>
            <w:tcW w:w="1558" w:type="dxa"/>
            <w:vAlign w:val="center"/>
          </w:tcPr>
          <w:p>
            <w:pPr>
              <w:widowControl/>
              <w:spacing w:line="360" w:lineRule="auto"/>
              <w:jc w:val="center"/>
              <w:textAlignment w:val="center"/>
              <w:rPr>
                <w:rFonts w:ascii="仿宋" w:hAnsi="仿宋" w:eastAsia="仿宋" w:cs="方正仿宋简体"/>
                <w:color w:val="000000"/>
              </w:rPr>
            </w:pPr>
            <w:r>
              <w:rPr>
                <w:rFonts w:hint="eastAsia" w:ascii="仿宋" w:hAnsi="仿宋" w:eastAsia="仿宋" w:cs="方正仿宋简体"/>
                <w:color w:val="000000"/>
              </w:rPr>
              <w:t>个</w:t>
            </w:r>
          </w:p>
        </w:tc>
        <w:tc>
          <w:tcPr>
            <w:tcW w:w="1276" w:type="dxa"/>
            <w:vAlign w:val="center"/>
          </w:tcPr>
          <w:p>
            <w:pPr>
              <w:widowControl w:val="0"/>
              <w:adjustRightInd w:val="0"/>
              <w:snapToGrid w:val="0"/>
              <w:ind w:left="-120" w:leftChars="-50" w:right="-120" w:rightChars="-50"/>
              <w:jc w:val="center"/>
              <w:rPr>
                <w:rFonts w:ascii="仿宋" w:hAnsi="仿宋" w:eastAsia="仿宋" w:cs="方正仿宋简体"/>
                <w:color w:val="000000"/>
              </w:rPr>
            </w:pPr>
            <w:r>
              <w:rPr>
                <w:rFonts w:hint="eastAsia" w:ascii="仿宋" w:hAnsi="仿宋" w:eastAsia="仿宋" w:cs="方正仿宋简体"/>
                <w:color w:val="000000"/>
              </w:rPr>
              <w:t>17</w:t>
            </w:r>
          </w:p>
        </w:tc>
        <w:tc>
          <w:tcPr>
            <w:tcW w:w="1332" w:type="dxa"/>
            <w:vAlign w:val="center"/>
          </w:tcPr>
          <w:p>
            <w:pPr>
              <w:widowControl w:val="0"/>
              <w:spacing w:line="360" w:lineRule="auto"/>
              <w:jc w:val="center"/>
              <w:rPr>
                <w:rFonts w:ascii="仿宋" w:hAnsi="仿宋" w:eastAsia="仿宋"/>
              </w:rPr>
            </w:pPr>
            <w:r>
              <w:rPr>
                <w:rFonts w:hint="eastAsia" w:ascii="仿宋" w:hAnsi="仿宋" w:eastAsia="仿宋"/>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vMerge w:val="continue"/>
            <w:vAlign w:val="center"/>
          </w:tcPr>
          <w:p>
            <w:pPr>
              <w:widowControl w:val="0"/>
              <w:spacing w:line="360" w:lineRule="auto"/>
              <w:jc w:val="both"/>
              <w:rPr>
                <w:rFonts w:ascii="仿宋" w:hAnsi="仿宋" w:eastAsia="仿宋"/>
              </w:rPr>
            </w:pPr>
          </w:p>
        </w:tc>
        <w:tc>
          <w:tcPr>
            <w:tcW w:w="3509" w:type="dxa"/>
            <w:vAlign w:val="center"/>
          </w:tcPr>
          <w:p>
            <w:pPr>
              <w:widowControl w:val="0"/>
              <w:spacing w:line="360" w:lineRule="auto"/>
              <w:jc w:val="both"/>
              <w:textAlignment w:val="center"/>
              <w:rPr>
                <w:rFonts w:ascii="仿宋" w:hAnsi="仿宋" w:eastAsia="仿宋" w:cs="方正仿宋简体"/>
                <w:color w:val="000000"/>
              </w:rPr>
            </w:pPr>
            <w:r>
              <w:rPr>
                <w:rFonts w:hint="eastAsia" w:ascii="仿宋" w:hAnsi="仿宋" w:eastAsia="仿宋" w:cs="方正仿宋简体"/>
                <w:color w:val="000000"/>
              </w:rPr>
              <w:t>国家科技型企业数量</w:t>
            </w:r>
          </w:p>
        </w:tc>
        <w:tc>
          <w:tcPr>
            <w:tcW w:w="1558" w:type="dxa"/>
            <w:vAlign w:val="center"/>
          </w:tcPr>
          <w:p>
            <w:pPr>
              <w:widowControl w:val="0"/>
              <w:spacing w:line="360" w:lineRule="auto"/>
              <w:jc w:val="center"/>
              <w:textAlignment w:val="center"/>
              <w:rPr>
                <w:rFonts w:ascii="仿宋" w:hAnsi="仿宋" w:eastAsia="仿宋" w:cs="方正仿宋简体"/>
                <w:color w:val="000000"/>
              </w:rPr>
            </w:pPr>
            <w:r>
              <w:rPr>
                <w:rFonts w:hint="eastAsia" w:ascii="仿宋" w:hAnsi="仿宋" w:eastAsia="仿宋" w:cs="方正仿宋简体"/>
                <w:color w:val="000000"/>
              </w:rPr>
              <w:t>个</w:t>
            </w:r>
          </w:p>
        </w:tc>
        <w:tc>
          <w:tcPr>
            <w:tcW w:w="1276" w:type="dxa"/>
            <w:vAlign w:val="center"/>
          </w:tcPr>
          <w:p>
            <w:pPr>
              <w:widowControl w:val="0"/>
              <w:adjustRightInd w:val="0"/>
              <w:snapToGrid w:val="0"/>
              <w:ind w:left="-120" w:leftChars="-50" w:right="-120" w:rightChars="-50"/>
              <w:jc w:val="center"/>
              <w:rPr>
                <w:rFonts w:ascii="仿宋" w:hAnsi="仿宋" w:eastAsia="仿宋" w:cs="方正仿宋简体"/>
                <w:color w:val="000000"/>
              </w:rPr>
            </w:pPr>
            <w:r>
              <w:rPr>
                <w:rFonts w:ascii="仿宋" w:hAnsi="仿宋" w:eastAsia="仿宋" w:cs="方正仿宋简体"/>
                <w:color w:val="000000"/>
              </w:rPr>
              <w:t>—</w:t>
            </w:r>
          </w:p>
        </w:tc>
        <w:tc>
          <w:tcPr>
            <w:tcW w:w="1332" w:type="dxa"/>
            <w:vAlign w:val="center"/>
          </w:tcPr>
          <w:p>
            <w:pPr>
              <w:widowControl w:val="0"/>
              <w:spacing w:line="360" w:lineRule="auto"/>
              <w:jc w:val="center"/>
              <w:rPr>
                <w:rFonts w:ascii="仿宋" w:hAnsi="仿宋" w:eastAsia="仿宋"/>
              </w:rPr>
            </w:pPr>
            <w:r>
              <w:rPr>
                <w:rFonts w:hint="eastAsia" w:ascii="仿宋" w:hAnsi="仿宋" w:eastAsia="仿宋"/>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vMerge w:val="continue"/>
            <w:vAlign w:val="center"/>
          </w:tcPr>
          <w:p>
            <w:pPr>
              <w:widowControl w:val="0"/>
              <w:spacing w:line="360" w:lineRule="auto"/>
              <w:jc w:val="both"/>
              <w:rPr>
                <w:rFonts w:ascii="仿宋" w:hAnsi="仿宋" w:eastAsia="仿宋"/>
              </w:rPr>
            </w:pPr>
          </w:p>
        </w:tc>
        <w:tc>
          <w:tcPr>
            <w:tcW w:w="3509" w:type="dxa"/>
            <w:vAlign w:val="center"/>
          </w:tcPr>
          <w:p>
            <w:pPr>
              <w:widowControl/>
              <w:adjustRightInd w:val="0"/>
              <w:snapToGrid w:val="0"/>
              <w:jc w:val="left"/>
              <w:textAlignment w:val="center"/>
              <w:rPr>
                <w:rFonts w:ascii="仿宋" w:hAnsi="仿宋" w:eastAsia="仿宋" w:cs="方正仿宋简体"/>
                <w:color w:val="000000"/>
              </w:rPr>
            </w:pPr>
            <w:r>
              <w:rPr>
                <w:rFonts w:hint="eastAsia" w:ascii="仿宋" w:hAnsi="仿宋" w:eastAsia="仿宋" w:cs="方正仿宋简体"/>
                <w:color w:val="000000"/>
              </w:rPr>
              <w:t>省级及以上研发机构和创新服务机构数总量</w:t>
            </w:r>
          </w:p>
        </w:tc>
        <w:tc>
          <w:tcPr>
            <w:tcW w:w="1558" w:type="dxa"/>
            <w:vAlign w:val="center"/>
          </w:tcPr>
          <w:p>
            <w:pPr>
              <w:widowControl/>
              <w:spacing w:line="360" w:lineRule="auto"/>
              <w:jc w:val="center"/>
              <w:textAlignment w:val="center"/>
              <w:rPr>
                <w:rFonts w:ascii="仿宋" w:hAnsi="仿宋" w:eastAsia="仿宋" w:cs="方正仿宋简体"/>
                <w:color w:val="000000"/>
              </w:rPr>
            </w:pPr>
            <w:r>
              <w:rPr>
                <w:rFonts w:hint="eastAsia" w:ascii="仿宋" w:hAnsi="仿宋" w:eastAsia="仿宋" w:cs="方正仿宋简体"/>
                <w:color w:val="000000"/>
              </w:rPr>
              <w:t>个</w:t>
            </w:r>
          </w:p>
        </w:tc>
        <w:tc>
          <w:tcPr>
            <w:tcW w:w="1276" w:type="dxa"/>
            <w:vAlign w:val="center"/>
          </w:tcPr>
          <w:p>
            <w:pPr>
              <w:widowControl w:val="0"/>
              <w:adjustRightInd w:val="0"/>
              <w:snapToGrid w:val="0"/>
              <w:ind w:left="-120" w:leftChars="-50" w:right="-120" w:rightChars="-50"/>
              <w:jc w:val="center"/>
              <w:rPr>
                <w:rFonts w:ascii="仿宋" w:hAnsi="仿宋" w:eastAsia="仿宋" w:cs="方正仿宋简体"/>
                <w:color w:val="000000"/>
              </w:rPr>
            </w:pPr>
            <w:r>
              <w:rPr>
                <w:rFonts w:hint="eastAsia" w:ascii="仿宋" w:hAnsi="仿宋" w:eastAsia="仿宋" w:cs="方正仿宋简体"/>
                <w:color w:val="000000"/>
              </w:rPr>
              <w:t>3</w:t>
            </w:r>
          </w:p>
        </w:tc>
        <w:tc>
          <w:tcPr>
            <w:tcW w:w="1332" w:type="dxa"/>
            <w:vAlign w:val="center"/>
          </w:tcPr>
          <w:p>
            <w:pPr>
              <w:widowControl w:val="0"/>
              <w:spacing w:line="360" w:lineRule="auto"/>
              <w:jc w:val="center"/>
              <w:rPr>
                <w:rFonts w:ascii="仿宋" w:hAnsi="仿宋" w:eastAsia="仿宋"/>
              </w:rPr>
            </w:pPr>
            <w:r>
              <w:rPr>
                <w:rFonts w:hint="eastAsia" w:ascii="仿宋" w:hAnsi="仿宋" w:eastAsia="仿宋"/>
              </w:rPr>
              <w:t>1</w:t>
            </w:r>
            <w:r>
              <w:rPr>
                <w:rFonts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vMerge w:val="continue"/>
            <w:vAlign w:val="center"/>
          </w:tcPr>
          <w:p>
            <w:pPr>
              <w:widowControl w:val="0"/>
              <w:spacing w:line="360" w:lineRule="auto"/>
              <w:jc w:val="both"/>
              <w:rPr>
                <w:rFonts w:ascii="仿宋" w:hAnsi="仿宋" w:eastAsia="仿宋"/>
              </w:rPr>
            </w:pPr>
          </w:p>
        </w:tc>
        <w:tc>
          <w:tcPr>
            <w:tcW w:w="3509" w:type="dxa"/>
            <w:vAlign w:val="center"/>
          </w:tcPr>
          <w:p>
            <w:pPr>
              <w:widowControl/>
              <w:spacing w:line="360" w:lineRule="auto"/>
              <w:jc w:val="left"/>
              <w:textAlignment w:val="center"/>
              <w:rPr>
                <w:rFonts w:ascii="仿宋" w:hAnsi="仿宋" w:eastAsia="仿宋" w:cs="方正仿宋简体"/>
                <w:color w:val="000000"/>
              </w:rPr>
            </w:pPr>
            <w:r>
              <w:rPr>
                <w:rFonts w:hint="eastAsia" w:ascii="仿宋" w:hAnsi="仿宋" w:eastAsia="仿宋" w:cs="方正仿宋简体"/>
                <w:color w:val="000000"/>
              </w:rPr>
              <w:t>企业年申请专利</w:t>
            </w:r>
          </w:p>
        </w:tc>
        <w:tc>
          <w:tcPr>
            <w:tcW w:w="1558" w:type="dxa"/>
            <w:vAlign w:val="center"/>
          </w:tcPr>
          <w:p>
            <w:pPr>
              <w:widowControl/>
              <w:spacing w:line="360" w:lineRule="auto"/>
              <w:jc w:val="center"/>
              <w:textAlignment w:val="center"/>
              <w:rPr>
                <w:rFonts w:ascii="仿宋" w:hAnsi="仿宋" w:eastAsia="仿宋" w:cs="方正仿宋简体"/>
                <w:color w:val="000000"/>
              </w:rPr>
            </w:pPr>
            <w:r>
              <w:rPr>
                <w:rFonts w:hint="eastAsia" w:ascii="仿宋" w:hAnsi="仿宋" w:eastAsia="仿宋" w:cs="方正仿宋简体"/>
                <w:color w:val="000000"/>
              </w:rPr>
              <w:t>件</w:t>
            </w:r>
          </w:p>
        </w:tc>
        <w:tc>
          <w:tcPr>
            <w:tcW w:w="1276" w:type="dxa"/>
            <w:vAlign w:val="center"/>
          </w:tcPr>
          <w:p>
            <w:pPr>
              <w:widowControl w:val="0"/>
              <w:adjustRightInd w:val="0"/>
              <w:snapToGrid w:val="0"/>
              <w:ind w:left="-120" w:leftChars="-50" w:right="-120" w:rightChars="-50"/>
              <w:jc w:val="center"/>
              <w:rPr>
                <w:rFonts w:ascii="仿宋" w:hAnsi="仿宋" w:eastAsia="仿宋" w:cs="方正仿宋简体"/>
                <w:color w:val="000000"/>
              </w:rPr>
            </w:pPr>
            <w:r>
              <w:rPr>
                <w:rFonts w:ascii="仿宋" w:hAnsi="仿宋" w:eastAsia="仿宋" w:cs="方正仿宋简体"/>
                <w:color w:val="000000"/>
              </w:rPr>
              <w:t>—</w:t>
            </w:r>
          </w:p>
        </w:tc>
        <w:tc>
          <w:tcPr>
            <w:tcW w:w="1332" w:type="dxa"/>
            <w:vAlign w:val="center"/>
          </w:tcPr>
          <w:p>
            <w:pPr>
              <w:widowControl w:val="0"/>
              <w:spacing w:line="360" w:lineRule="auto"/>
              <w:jc w:val="center"/>
              <w:rPr>
                <w:rFonts w:ascii="仿宋" w:hAnsi="仿宋" w:eastAsia="仿宋"/>
              </w:rPr>
            </w:pPr>
            <w:r>
              <w:rPr>
                <w:rFonts w:hint="eastAsia" w:ascii="仿宋" w:hAnsi="仿宋" w:eastAsia="仿宋"/>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jc w:val="center"/>
        </w:trPr>
        <w:tc>
          <w:tcPr>
            <w:tcW w:w="847" w:type="dxa"/>
            <w:vMerge w:val="restart"/>
            <w:vAlign w:val="center"/>
          </w:tcPr>
          <w:p>
            <w:pPr>
              <w:widowControl w:val="0"/>
              <w:spacing w:line="360" w:lineRule="auto"/>
              <w:jc w:val="center"/>
              <w:rPr>
                <w:rFonts w:ascii="仿宋" w:hAnsi="仿宋" w:eastAsia="仿宋"/>
              </w:rPr>
            </w:pPr>
            <w:r>
              <w:rPr>
                <w:rFonts w:hint="eastAsia" w:ascii="仿宋" w:hAnsi="仿宋" w:eastAsia="仿宋"/>
                <w:b/>
              </w:rPr>
              <w:t>集群发展</w:t>
            </w:r>
          </w:p>
        </w:tc>
        <w:tc>
          <w:tcPr>
            <w:tcW w:w="3509" w:type="dxa"/>
            <w:vAlign w:val="center"/>
          </w:tcPr>
          <w:p>
            <w:pPr>
              <w:widowControl/>
              <w:spacing w:line="360" w:lineRule="auto"/>
              <w:jc w:val="left"/>
              <w:textAlignment w:val="center"/>
              <w:rPr>
                <w:rFonts w:ascii="仿宋" w:hAnsi="仿宋" w:eastAsia="仿宋" w:cs="方正仿宋简体"/>
                <w:color w:val="000000"/>
              </w:rPr>
            </w:pPr>
            <w:r>
              <w:rPr>
                <w:rFonts w:ascii="仿宋" w:hAnsi="仿宋" w:eastAsia="仿宋" w:cs="方正仿宋简体"/>
                <w:color w:val="000000"/>
              </w:rPr>
              <w:t>入驻企业</w:t>
            </w:r>
          </w:p>
        </w:tc>
        <w:tc>
          <w:tcPr>
            <w:tcW w:w="1558" w:type="dxa"/>
            <w:vAlign w:val="center"/>
          </w:tcPr>
          <w:p>
            <w:pPr>
              <w:widowControl w:val="0"/>
              <w:spacing w:line="360" w:lineRule="auto"/>
              <w:jc w:val="center"/>
              <w:textAlignment w:val="center"/>
              <w:rPr>
                <w:rFonts w:ascii="仿宋" w:hAnsi="仿宋" w:eastAsia="仿宋" w:cs="方正仿宋简体"/>
                <w:color w:val="000000"/>
              </w:rPr>
            </w:pPr>
            <w:r>
              <w:rPr>
                <w:rFonts w:ascii="仿宋" w:hAnsi="仿宋" w:eastAsia="仿宋" w:cs="方正仿宋简体"/>
                <w:color w:val="000000"/>
              </w:rPr>
              <w:t>家</w:t>
            </w:r>
          </w:p>
        </w:tc>
        <w:tc>
          <w:tcPr>
            <w:tcW w:w="1276" w:type="dxa"/>
            <w:vAlign w:val="center"/>
          </w:tcPr>
          <w:p>
            <w:pPr>
              <w:widowControl w:val="0"/>
              <w:adjustRightInd w:val="0"/>
              <w:snapToGrid w:val="0"/>
              <w:ind w:left="-120" w:leftChars="-50" w:right="-120" w:rightChars="-50"/>
              <w:jc w:val="center"/>
              <w:rPr>
                <w:rFonts w:ascii="仿宋" w:hAnsi="仿宋" w:eastAsia="仿宋" w:cs="方正仿宋简体"/>
                <w:color w:val="000000"/>
              </w:rPr>
            </w:pPr>
            <w:r>
              <w:rPr>
                <w:rFonts w:hint="eastAsia" w:ascii="仿宋" w:hAnsi="仿宋" w:eastAsia="仿宋" w:cs="方正仿宋简体"/>
                <w:color w:val="000000"/>
              </w:rPr>
              <w:t>735</w:t>
            </w:r>
          </w:p>
        </w:tc>
        <w:tc>
          <w:tcPr>
            <w:tcW w:w="1332" w:type="dxa"/>
            <w:vAlign w:val="center"/>
          </w:tcPr>
          <w:p>
            <w:pPr>
              <w:widowControl w:val="0"/>
              <w:spacing w:line="360" w:lineRule="auto"/>
              <w:jc w:val="center"/>
              <w:rPr>
                <w:rFonts w:ascii="仿宋" w:hAnsi="仿宋" w:eastAsia="仿宋"/>
              </w:rPr>
            </w:pPr>
            <w:r>
              <w:rPr>
                <w:rFonts w:ascii="仿宋" w:hAnsi="仿宋" w:eastAsia="仿宋" w:cs="方正仿宋简体"/>
                <w:color w:val="000000"/>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vMerge w:val="continue"/>
            <w:vAlign w:val="center"/>
          </w:tcPr>
          <w:p>
            <w:pPr>
              <w:widowControl w:val="0"/>
              <w:spacing w:line="360" w:lineRule="auto"/>
              <w:jc w:val="both"/>
              <w:rPr>
                <w:rFonts w:ascii="仿宋" w:hAnsi="仿宋" w:eastAsia="仿宋"/>
              </w:rPr>
            </w:pPr>
          </w:p>
        </w:tc>
        <w:tc>
          <w:tcPr>
            <w:tcW w:w="3509" w:type="dxa"/>
            <w:vAlign w:val="center"/>
          </w:tcPr>
          <w:p>
            <w:pPr>
              <w:widowControl/>
              <w:adjustRightInd w:val="0"/>
              <w:snapToGrid w:val="0"/>
              <w:jc w:val="left"/>
              <w:textAlignment w:val="center"/>
              <w:rPr>
                <w:rFonts w:ascii="仿宋" w:hAnsi="仿宋" w:eastAsia="仿宋" w:cs="方正仿宋简体"/>
                <w:color w:val="000000"/>
              </w:rPr>
            </w:pPr>
            <w:r>
              <w:rPr>
                <w:rFonts w:hint="eastAsia" w:ascii="仿宋" w:hAnsi="仿宋" w:eastAsia="仿宋" w:cs="方正仿宋简体"/>
                <w:color w:val="000000"/>
              </w:rPr>
              <w:t>主导产业营业收入占园区营业收入比重</w:t>
            </w:r>
          </w:p>
        </w:tc>
        <w:tc>
          <w:tcPr>
            <w:tcW w:w="1558" w:type="dxa"/>
            <w:vAlign w:val="center"/>
          </w:tcPr>
          <w:p>
            <w:pPr>
              <w:widowControl/>
              <w:spacing w:line="360" w:lineRule="auto"/>
              <w:jc w:val="center"/>
              <w:textAlignment w:val="center"/>
              <w:rPr>
                <w:rFonts w:ascii="仿宋" w:hAnsi="仿宋" w:eastAsia="仿宋" w:cs="方正仿宋简体"/>
                <w:color w:val="000000"/>
              </w:rPr>
            </w:pPr>
            <w:r>
              <w:rPr>
                <w:rFonts w:hint="eastAsia" w:ascii="仿宋" w:hAnsi="仿宋" w:eastAsia="仿宋" w:cs="方正仿宋简体"/>
                <w:color w:val="000000"/>
              </w:rPr>
              <w:t>%</w:t>
            </w:r>
          </w:p>
        </w:tc>
        <w:tc>
          <w:tcPr>
            <w:tcW w:w="1276" w:type="dxa"/>
            <w:vAlign w:val="center"/>
          </w:tcPr>
          <w:p>
            <w:pPr>
              <w:widowControl w:val="0"/>
              <w:adjustRightInd w:val="0"/>
              <w:snapToGrid w:val="0"/>
              <w:ind w:left="-120" w:leftChars="-50" w:right="-120" w:rightChars="-50"/>
              <w:jc w:val="center"/>
              <w:rPr>
                <w:rFonts w:ascii="仿宋" w:hAnsi="仿宋" w:eastAsia="仿宋" w:cs="方正仿宋简体"/>
                <w:color w:val="000000"/>
              </w:rPr>
            </w:pPr>
            <w:r>
              <w:rPr>
                <w:rFonts w:hint="eastAsia" w:ascii="仿宋" w:hAnsi="仿宋" w:eastAsia="仿宋" w:cs="方正仿宋简体"/>
                <w:color w:val="000000"/>
              </w:rPr>
              <w:t>71.9</w:t>
            </w:r>
          </w:p>
        </w:tc>
        <w:tc>
          <w:tcPr>
            <w:tcW w:w="1332" w:type="dxa"/>
            <w:vAlign w:val="center"/>
          </w:tcPr>
          <w:p>
            <w:pPr>
              <w:widowControl w:val="0"/>
              <w:spacing w:line="360" w:lineRule="auto"/>
              <w:jc w:val="center"/>
              <w:rPr>
                <w:rFonts w:ascii="仿宋" w:hAnsi="仿宋" w:eastAsia="仿宋"/>
              </w:rPr>
            </w:pPr>
            <w:r>
              <w:rPr>
                <w:rFonts w:hint="eastAsia" w:ascii="仿宋" w:hAnsi="仿宋" w:eastAsia="仿宋"/>
              </w:rPr>
              <w:t>8</w:t>
            </w:r>
            <w:r>
              <w:rPr>
                <w:rFonts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vMerge w:val="restart"/>
            <w:vAlign w:val="center"/>
          </w:tcPr>
          <w:p>
            <w:pPr>
              <w:widowControl w:val="0"/>
              <w:spacing w:line="360" w:lineRule="auto"/>
              <w:jc w:val="center"/>
              <w:rPr>
                <w:rFonts w:ascii="仿宋" w:hAnsi="仿宋" w:eastAsia="仿宋"/>
              </w:rPr>
            </w:pPr>
            <w:r>
              <w:rPr>
                <w:rFonts w:ascii="仿宋" w:hAnsi="仿宋" w:eastAsia="仿宋"/>
                <w:b/>
              </w:rPr>
              <w:t>企业能级</w:t>
            </w:r>
          </w:p>
        </w:tc>
        <w:tc>
          <w:tcPr>
            <w:tcW w:w="3509" w:type="dxa"/>
            <w:vAlign w:val="center"/>
          </w:tcPr>
          <w:p>
            <w:pPr>
              <w:widowControl/>
              <w:spacing w:line="360" w:lineRule="auto"/>
              <w:jc w:val="left"/>
              <w:textAlignment w:val="center"/>
              <w:rPr>
                <w:rFonts w:ascii="仿宋" w:hAnsi="仿宋" w:eastAsia="仿宋" w:cs="方正仿宋简体"/>
                <w:color w:val="000000"/>
              </w:rPr>
            </w:pPr>
            <w:r>
              <w:rPr>
                <w:rFonts w:hint="eastAsia" w:ascii="仿宋" w:hAnsi="仿宋" w:eastAsia="仿宋" w:cs="方正仿宋简体"/>
                <w:color w:val="000000"/>
              </w:rPr>
              <w:t>销售收入50亿元以上企业数量</w:t>
            </w:r>
          </w:p>
        </w:tc>
        <w:tc>
          <w:tcPr>
            <w:tcW w:w="1558" w:type="dxa"/>
            <w:vAlign w:val="center"/>
          </w:tcPr>
          <w:p>
            <w:pPr>
              <w:widowControl/>
              <w:spacing w:line="360" w:lineRule="auto"/>
              <w:jc w:val="center"/>
              <w:textAlignment w:val="center"/>
              <w:rPr>
                <w:rFonts w:ascii="仿宋" w:hAnsi="仿宋" w:eastAsia="仿宋" w:cs="方正仿宋简体"/>
                <w:color w:val="000000"/>
              </w:rPr>
            </w:pPr>
            <w:r>
              <w:rPr>
                <w:rFonts w:hint="eastAsia" w:ascii="仿宋" w:hAnsi="仿宋" w:eastAsia="仿宋" w:cs="方正仿宋简体"/>
                <w:color w:val="000000"/>
              </w:rPr>
              <w:t>个</w:t>
            </w:r>
          </w:p>
        </w:tc>
        <w:tc>
          <w:tcPr>
            <w:tcW w:w="1276" w:type="dxa"/>
            <w:vAlign w:val="center"/>
          </w:tcPr>
          <w:p>
            <w:pPr>
              <w:widowControl w:val="0"/>
              <w:adjustRightInd w:val="0"/>
              <w:snapToGrid w:val="0"/>
              <w:ind w:left="-120" w:leftChars="-50" w:right="-120" w:rightChars="-50"/>
              <w:jc w:val="center"/>
              <w:rPr>
                <w:rFonts w:ascii="仿宋" w:hAnsi="仿宋" w:eastAsia="仿宋" w:cs="方正仿宋简体"/>
                <w:color w:val="000000"/>
              </w:rPr>
            </w:pPr>
            <w:r>
              <w:rPr>
                <w:rFonts w:hint="eastAsia" w:ascii="仿宋" w:hAnsi="仿宋" w:eastAsia="仿宋" w:cs="方正仿宋简体"/>
                <w:color w:val="000000"/>
              </w:rPr>
              <w:t>0</w:t>
            </w:r>
          </w:p>
        </w:tc>
        <w:tc>
          <w:tcPr>
            <w:tcW w:w="1332" w:type="dxa"/>
            <w:vAlign w:val="center"/>
          </w:tcPr>
          <w:p>
            <w:pPr>
              <w:widowControl w:val="0"/>
              <w:spacing w:line="360" w:lineRule="auto"/>
              <w:jc w:val="center"/>
              <w:rPr>
                <w:rFonts w:ascii="仿宋" w:hAnsi="仿宋" w:eastAsia="仿宋"/>
              </w:rPr>
            </w:pPr>
            <w:r>
              <w:rPr>
                <w:rFonts w:hint="eastAsia" w:ascii="仿宋" w:hAnsi="仿宋" w:eastAsia="仿宋"/>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vMerge w:val="continue"/>
            <w:vAlign w:val="center"/>
          </w:tcPr>
          <w:p>
            <w:pPr>
              <w:widowControl w:val="0"/>
              <w:spacing w:line="360" w:lineRule="auto"/>
              <w:jc w:val="both"/>
              <w:rPr>
                <w:rFonts w:ascii="仿宋" w:hAnsi="仿宋" w:eastAsia="仿宋"/>
              </w:rPr>
            </w:pPr>
          </w:p>
        </w:tc>
        <w:tc>
          <w:tcPr>
            <w:tcW w:w="3509" w:type="dxa"/>
            <w:vAlign w:val="center"/>
          </w:tcPr>
          <w:p>
            <w:pPr>
              <w:widowControl/>
              <w:spacing w:line="360" w:lineRule="auto"/>
              <w:jc w:val="left"/>
              <w:textAlignment w:val="center"/>
              <w:rPr>
                <w:rFonts w:ascii="仿宋" w:hAnsi="仿宋" w:eastAsia="仿宋" w:cs="方正仿宋简体"/>
                <w:color w:val="000000"/>
              </w:rPr>
            </w:pPr>
            <w:r>
              <w:rPr>
                <w:rFonts w:hint="eastAsia" w:ascii="仿宋" w:hAnsi="仿宋" w:eastAsia="仿宋" w:cs="方正仿宋简体"/>
                <w:color w:val="000000"/>
              </w:rPr>
              <w:t>销售收入30亿元以上企业数量</w:t>
            </w:r>
          </w:p>
        </w:tc>
        <w:tc>
          <w:tcPr>
            <w:tcW w:w="1558" w:type="dxa"/>
            <w:vAlign w:val="center"/>
          </w:tcPr>
          <w:p>
            <w:pPr>
              <w:widowControl/>
              <w:spacing w:line="360" w:lineRule="auto"/>
              <w:jc w:val="center"/>
              <w:textAlignment w:val="center"/>
              <w:rPr>
                <w:rFonts w:ascii="仿宋" w:hAnsi="仿宋" w:eastAsia="仿宋" w:cs="方正仿宋简体"/>
                <w:color w:val="000000"/>
              </w:rPr>
            </w:pPr>
            <w:r>
              <w:rPr>
                <w:rFonts w:hint="eastAsia" w:ascii="仿宋" w:hAnsi="仿宋" w:eastAsia="仿宋" w:cs="方正仿宋简体"/>
                <w:color w:val="000000"/>
              </w:rPr>
              <w:t>个</w:t>
            </w:r>
          </w:p>
        </w:tc>
        <w:tc>
          <w:tcPr>
            <w:tcW w:w="1276" w:type="dxa"/>
            <w:vAlign w:val="center"/>
          </w:tcPr>
          <w:p>
            <w:pPr>
              <w:widowControl w:val="0"/>
              <w:adjustRightInd w:val="0"/>
              <w:snapToGrid w:val="0"/>
              <w:ind w:left="-120" w:leftChars="-50" w:right="-120" w:rightChars="-50"/>
              <w:jc w:val="center"/>
              <w:rPr>
                <w:rFonts w:ascii="仿宋" w:hAnsi="仿宋" w:eastAsia="仿宋" w:cs="方正仿宋简体"/>
                <w:color w:val="000000"/>
              </w:rPr>
            </w:pPr>
            <w:r>
              <w:rPr>
                <w:rFonts w:hint="eastAsia" w:ascii="仿宋" w:hAnsi="仿宋" w:eastAsia="仿宋" w:cs="方正仿宋简体"/>
                <w:color w:val="000000"/>
              </w:rPr>
              <w:t>0</w:t>
            </w:r>
          </w:p>
        </w:tc>
        <w:tc>
          <w:tcPr>
            <w:tcW w:w="1332" w:type="dxa"/>
            <w:vAlign w:val="center"/>
          </w:tcPr>
          <w:p>
            <w:pPr>
              <w:widowControl w:val="0"/>
              <w:spacing w:line="360" w:lineRule="auto"/>
              <w:jc w:val="center"/>
              <w:rPr>
                <w:rFonts w:ascii="仿宋" w:hAnsi="仿宋" w:eastAsia="仿宋"/>
              </w:rPr>
            </w:pPr>
            <w:r>
              <w:rPr>
                <w:rFonts w:hint="eastAsia" w:ascii="仿宋" w:hAnsi="仿宋" w:eastAsia="仿宋"/>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847" w:type="dxa"/>
            <w:vMerge w:val="continue"/>
            <w:vAlign w:val="center"/>
          </w:tcPr>
          <w:p>
            <w:pPr>
              <w:widowControl w:val="0"/>
              <w:spacing w:line="360" w:lineRule="auto"/>
              <w:jc w:val="both"/>
              <w:rPr>
                <w:rFonts w:ascii="仿宋" w:hAnsi="仿宋" w:eastAsia="仿宋"/>
              </w:rPr>
            </w:pPr>
          </w:p>
        </w:tc>
        <w:tc>
          <w:tcPr>
            <w:tcW w:w="3509" w:type="dxa"/>
            <w:vAlign w:val="center"/>
          </w:tcPr>
          <w:p>
            <w:pPr>
              <w:widowControl/>
              <w:spacing w:line="360" w:lineRule="auto"/>
              <w:jc w:val="left"/>
              <w:textAlignment w:val="center"/>
              <w:rPr>
                <w:rFonts w:ascii="仿宋" w:hAnsi="仿宋" w:eastAsia="仿宋" w:cs="方正仿宋简体"/>
                <w:color w:val="000000"/>
              </w:rPr>
            </w:pPr>
            <w:r>
              <w:rPr>
                <w:rFonts w:hint="eastAsia" w:ascii="仿宋" w:hAnsi="仿宋" w:eastAsia="仿宋" w:cs="方正仿宋简体"/>
                <w:color w:val="000000"/>
              </w:rPr>
              <w:t>省级以上企业名牌</w:t>
            </w:r>
          </w:p>
        </w:tc>
        <w:tc>
          <w:tcPr>
            <w:tcW w:w="1558" w:type="dxa"/>
            <w:vAlign w:val="center"/>
          </w:tcPr>
          <w:p>
            <w:pPr>
              <w:widowControl/>
              <w:spacing w:line="360" w:lineRule="auto"/>
              <w:jc w:val="center"/>
              <w:textAlignment w:val="center"/>
              <w:rPr>
                <w:rFonts w:ascii="仿宋" w:hAnsi="仿宋" w:eastAsia="仿宋" w:cs="方正仿宋简体"/>
                <w:color w:val="000000"/>
              </w:rPr>
            </w:pPr>
            <w:r>
              <w:rPr>
                <w:rFonts w:hint="eastAsia" w:ascii="仿宋" w:hAnsi="仿宋" w:eastAsia="仿宋" w:cs="方正仿宋简体"/>
                <w:color w:val="000000"/>
              </w:rPr>
              <w:t>个</w:t>
            </w:r>
          </w:p>
        </w:tc>
        <w:tc>
          <w:tcPr>
            <w:tcW w:w="1276" w:type="dxa"/>
            <w:vAlign w:val="center"/>
          </w:tcPr>
          <w:p>
            <w:pPr>
              <w:widowControl w:val="0"/>
              <w:adjustRightInd w:val="0"/>
              <w:snapToGrid w:val="0"/>
              <w:ind w:left="-120" w:leftChars="-50" w:right="-120" w:rightChars="-50"/>
              <w:jc w:val="center"/>
              <w:rPr>
                <w:rFonts w:ascii="仿宋" w:hAnsi="仿宋" w:eastAsia="仿宋" w:cs="方正仿宋简体"/>
                <w:color w:val="000000"/>
              </w:rPr>
            </w:pPr>
            <w:r>
              <w:rPr>
                <w:rFonts w:ascii="仿宋" w:hAnsi="仿宋" w:eastAsia="仿宋" w:cs="方正仿宋简体"/>
                <w:color w:val="000000"/>
              </w:rPr>
              <w:t>—</w:t>
            </w:r>
          </w:p>
        </w:tc>
        <w:tc>
          <w:tcPr>
            <w:tcW w:w="1332" w:type="dxa"/>
            <w:vAlign w:val="center"/>
          </w:tcPr>
          <w:p>
            <w:pPr>
              <w:widowControl w:val="0"/>
              <w:spacing w:line="360" w:lineRule="auto"/>
              <w:jc w:val="center"/>
              <w:rPr>
                <w:rFonts w:ascii="仿宋" w:hAnsi="仿宋" w:eastAsia="仿宋"/>
              </w:rPr>
            </w:pPr>
            <w:r>
              <w:rPr>
                <w:rFonts w:hint="eastAsia" w:ascii="仿宋" w:hAnsi="仿宋" w:eastAsia="仿宋"/>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vMerge w:val="restart"/>
            <w:vAlign w:val="center"/>
          </w:tcPr>
          <w:p>
            <w:pPr>
              <w:widowControl w:val="0"/>
              <w:spacing w:line="360" w:lineRule="auto"/>
              <w:jc w:val="center"/>
              <w:rPr>
                <w:rFonts w:ascii="仿宋" w:hAnsi="仿宋" w:eastAsia="仿宋"/>
                <w:b/>
              </w:rPr>
            </w:pPr>
            <w:r>
              <w:rPr>
                <w:rFonts w:ascii="仿宋" w:hAnsi="仿宋" w:eastAsia="仿宋"/>
                <w:b/>
              </w:rPr>
              <w:t>生态环境</w:t>
            </w:r>
          </w:p>
        </w:tc>
        <w:tc>
          <w:tcPr>
            <w:tcW w:w="3509" w:type="dxa"/>
            <w:vAlign w:val="center"/>
          </w:tcPr>
          <w:p>
            <w:pPr>
              <w:widowControl/>
              <w:spacing w:line="400" w:lineRule="exact"/>
              <w:jc w:val="left"/>
              <w:rPr>
                <w:rFonts w:ascii="仿宋" w:hAnsi="仿宋" w:eastAsia="仿宋" w:cs="方正仿宋简体"/>
                <w:color w:val="000000"/>
              </w:rPr>
            </w:pPr>
            <w:r>
              <w:rPr>
                <w:rFonts w:ascii="仿宋" w:hAnsi="仿宋" w:eastAsia="仿宋" w:cs="方正仿宋简体"/>
                <w:color w:val="000000"/>
              </w:rPr>
              <w:t>单位工业增加值能耗下降率</w:t>
            </w:r>
          </w:p>
        </w:tc>
        <w:tc>
          <w:tcPr>
            <w:tcW w:w="1558" w:type="dxa"/>
            <w:vAlign w:val="center"/>
          </w:tcPr>
          <w:p>
            <w:pPr>
              <w:widowControl/>
              <w:spacing w:line="400" w:lineRule="exact"/>
              <w:jc w:val="center"/>
              <w:rPr>
                <w:rFonts w:ascii="仿宋" w:hAnsi="仿宋" w:eastAsia="仿宋" w:cs="方正仿宋简体"/>
                <w:color w:val="000000"/>
              </w:rPr>
            </w:pPr>
            <w:r>
              <w:rPr>
                <w:rFonts w:ascii="仿宋" w:hAnsi="仿宋" w:eastAsia="仿宋" w:cs="方正仿宋简体"/>
                <w:color w:val="000000"/>
              </w:rPr>
              <w:t>（%）</w:t>
            </w:r>
          </w:p>
        </w:tc>
        <w:tc>
          <w:tcPr>
            <w:tcW w:w="1276" w:type="dxa"/>
            <w:vAlign w:val="center"/>
          </w:tcPr>
          <w:p>
            <w:pPr>
              <w:widowControl w:val="0"/>
              <w:adjustRightInd w:val="0"/>
              <w:snapToGrid w:val="0"/>
              <w:ind w:left="-120" w:leftChars="-50" w:right="-120" w:rightChars="-50"/>
              <w:jc w:val="center"/>
              <w:rPr>
                <w:rFonts w:ascii="仿宋" w:hAnsi="仿宋" w:eastAsia="仿宋" w:cs="方正仿宋简体"/>
                <w:color w:val="000000"/>
              </w:rPr>
            </w:pPr>
            <w:r>
              <w:rPr>
                <w:rFonts w:ascii="仿宋" w:hAnsi="仿宋" w:eastAsia="仿宋" w:cs="方正仿宋简体"/>
                <w:color w:val="000000"/>
              </w:rPr>
              <w:t>—</w:t>
            </w:r>
          </w:p>
        </w:tc>
        <w:tc>
          <w:tcPr>
            <w:tcW w:w="1332" w:type="dxa"/>
            <w:vAlign w:val="center"/>
          </w:tcPr>
          <w:p>
            <w:pPr>
              <w:widowControl/>
              <w:adjustRightInd w:val="0"/>
              <w:snapToGrid w:val="0"/>
              <w:jc w:val="center"/>
              <w:rPr>
                <w:rFonts w:ascii="仿宋" w:hAnsi="仿宋" w:eastAsia="仿宋" w:cs="方正仿宋简体"/>
                <w:color w:val="000000"/>
              </w:rPr>
            </w:pPr>
            <w:r>
              <w:rPr>
                <w:rFonts w:ascii="仿宋" w:hAnsi="仿宋" w:eastAsia="仿宋" w:cs="方正仿宋简体"/>
                <w:color w:val="000000"/>
              </w:rPr>
              <w:t>完成下</w:t>
            </w:r>
          </w:p>
          <w:p>
            <w:pPr>
              <w:widowControl/>
              <w:adjustRightInd w:val="0"/>
              <w:snapToGrid w:val="0"/>
              <w:jc w:val="center"/>
              <w:rPr>
                <w:rFonts w:ascii="仿宋" w:hAnsi="仿宋" w:eastAsia="仿宋" w:cs="方正仿宋简体"/>
                <w:color w:val="000000"/>
              </w:rPr>
            </w:pPr>
            <w:r>
              <w:rPr>
                <w:rFonts w:ascii="仿宋" w:hAnsi="仿宋" w:eastAsia="仿宋" w:cs="方正仿宋简体"/>
                <w:color w:val="000000"/>
              </w:rPr>
              <w:t>达任务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vMerge w:val="continue"/>
            <w:vAlign w:val="center"/>
          </w:tcPr>
          <w:p>
            <w:pPr>
              <w:widowControl w:val="0"/>
              <w:spacing w:line="360" w:lineRule="auto"/>
              <w:jc w:val="both"/>
              <w:rPr>
                <w:rFonts w:ascii="仿宋" w:hAnsi="仿宋" w:eastAsia="仿宋"/>
              </w:rPr>
            </w:pPr>
          </w:p>
        </w:tc>
        <w:tc>
          <w:tcPr>
            <w:tcW w:w="3509" w:type="dxa"/>
            <w:vAlign w:val="center"/>
          </w:tcPr>
          <w:p>
            <w:pPr>
              <w:widowControl/>
              <w:spacing w:line="400" w:lineRule="exact"/>
              <w:jc w:val="left"/>
              <w:rPr>
                <w:rFonts w:ascii="仿宋" w:hAnsi="仿宋" w:eastAsia="仿宋" w:cs="方正仿宋简体"/>
                <w:color w:val="000000"/>
              </w:rPr>
            </w:pPr>
            <w:r>
              <w:rPr>
                <w:rFonts w:ascii="仿宋" w:hAnsi="仿宋" w:eastAsia="仿宋" w:cs="方正仿宋简体"/>
                <w:color w:val="000000"/>
              </w:rPr>
              <w:t>单位工业增加值水耗下降率</w:t>
            </w:r>
          </w:p>
        </w:tc>
        <w:tc>
          <w:tcPr>
            <w:tcW w:w="1558" w:type="dxa"/>
            <w:vAlign w:val="center"/>
          </w:tcPr>
          <w:p>
            <w:pPr>
              <w:widowControl/>
              <w:spacing w:line="400" w:lineRule="exact"/>
              <w:jc w:val="center"/>
              <w:rPr>
                <w:rFonts w:ascii="仿宋" w:hAnsi="仿宋" w:eastAsia="仿宋" w:cs="方正仿宋简体"/>
                <w:color w:val="000000"/>
              </w:rPr>
            </w:pPr>
            <w:r>
              <w:rPr>
                <w:rFonts w:ascii="仿宋" w:hAnsi="仿宋" w:eastAsia="仿宋" w:cs="方正仿宋简体"/>
                <w:color w:val="000000"/>
              </w:rPr>
              <w:t>（%）</w:t>
            </w:r>
          </w:p>
        </w:tc>
        <w:tc>
          <w:tcPr>
            <w:tcW w:w="1276" w:type="dxa"/>
            <w:vAlign w:val="center"/>
          </w:tcPr>
          <w:p>
            <w:pPr>
              <w:widowControl/>
              <w:spacing w:line="400" w:lineRule="exact"/>
              <w:jc w:val="center"/>
              <w:rPr>
                <w:rFonts w:ascii="仿宋" w:hAnsi="仿宋" w:eastAsia="仿宋" w:cs="方正仿宋简体"/>
                <w:color w:val="000000"/>
              </w:rPr>
            </w:pPr>
            <w:r>
              <w:rPr>
                <w:rFonts w:ascii="仿宋" w:hAnsi="仿宋" w:eastAsia="仿宋" w:cs="方正仿宋简体"/>
                <w:color w:val="000000"/>
              </w:rPr>
              <w:t>—</w:t>
            </w:r>
          </w:p>
        </w:tc>
        <w:tc>
          <w:tcPr>
            <w:tcW w:w="1332" w:type="dxa"/>
            <w:vAlign w:val="center"/>
          </w:tcPr>
          <w:p>
            <w:pPr>
              <w:widowControl/>
              <w:adjustRightInd w:val="0"/>
              <w:snapToGrid w:val="0"/>
              <w:jc w:val="center"/>
              <w:rPr>
                <w:rFonts w:ascii="仿宋" w:hAnsi="仿宋" w:eastAsia="仿宋" w:cs="方正仿宋简体"/>
                <w:color w:val="000000"/>
              </w:rPr>
            </w:pPr>
            <w:r>
              <w:rPr>
                <w:rFonts w:ascii="仿宋" w:hAnsi="仿宋" w:eastAsia="仿宋" w:cs="方正仿宋简体"/>
                <w:color w:val="000000"/>
              </w:rPr>
              <w:t>完成下</w:t>
            </w:r>
          </w:p>
          <w:p>
            <w:pPr>
              <w:widowControl/>
              <w:adjustRightInd w:val="0"/>
              <w:snapToGrid w:val="0"/>
              <w:jc w:val="center"/>
              <w:rPr>
                <w:rFonts w:ascii="仿宋" w:hAnsi="仿宋" w:eastAsia="仿宋" w:cs="方正仿宋简体"/>
                <w:color w:val="000000"/>
              </w:rPr>
            </w:pPr>
            <w:r>
              <w:rPr>
                <w:rFonts w:ascii="仿宋" w:hAnsi="仿宋" w:eastAsia="仿宋" w:cs="方正仿宋简体"/>
                <w:color w:val="000000"/>
              </w:rPr>
              <w:t>达任务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vMerge w:val="continue"/>
            <w:vAlign w:val="center"/>
          </w:tcPr>
          <w:p>
            <w:pPr>
              <w:widowControl w:val="0"/>
              <w:spacing w:line="360" w:lineRule="auto"/>
              <w:jc w:val="both"/>
              <w:rPr>
                <w:rFonts w:ascii="仿宋" w:hAnsi="仿宋" w:eastAsia="仿宋"/>
              </w:rPr>
            </w:pPr>
          </w:p>
        </w:tc>
        <w:tc>
          <w:tcPr>
            <w:tcW w:w="3509" w:type="dxa"/>
            <w:vAlign w:val="center"/>
          </w:tcPr>
          <w:p>
            <w:pPr>
              <w:widowControl/>
              <w:spacing w:line="400" w:lineRule="exact"/>
              <w:jc w:val="left"/>
              <w:rPr>
                <w:rFonts w:ascii="仿宋" w:hAnsi="仿宋" w:eastAsia="仿宋" w:cs="方正仿宋简体"/>
                <w:color w:val="000000"/>
              </w:rPr>
            </w:pPr>
            <w:r>
              <w:rPr>
                <w:rFonts w:ascii="仿宋" w:hAnsi="仿宋" w:eastAsia="仿宋" w:cs="方正仿宋简体"/>
                <w:color w:val="000000"/>
              </w:rPr>
              <w:t>单位工业增加值碳排放量下降</w:t>
            </w:r>
          </w:p>
        </w:tc>
        <w:tc>
          <w:tcPr>
            <w:tcW w:w="1558" w:type="dxa"/>
            <w:vAlign w:val="center"/>
          </w:tcPr>
          <w:p>
            <w:pPr>
              <w:widowControl/>
              <w:spacing w:line="400" w:lineRule="exact"/>
              <w:jc w:val="center"/>
              <w:rPr>
                <w:rFonts w:ascii="仿宋" w:hAnsi="仿宋" w:eastAsia="仿宋" w:cs="方正仿宋简体"/>
                <w:color w:val="000000"/>
              </w:rPr>
            </w:pPr>
            <w:r>
              <w:rPr>
                <w:rFonts w:ascii="仿宋" w:hAnsi="仿宋" w:eastAsia="仿宋" w:cs="方正仿宋简体"/>
                <w:color w:val="000000"/>
              </w:rPr>
              <w:t>（%）</w:t>
            </w:r>
          </w:p>
        </w:tc>
        <w:tc>
          <w:tcPr>
            <w:tcW w:w="1276" w:type="dxa"/>
            <w:vAlign w:val="center"/>
          </w:tcPr>
          <w:p>
            <w:pPr>
              <w:widowControl/>
              <w:spacing w:line="400" w:lineRule="exact"/>
              <w:jc w:val="center"/>
              <w:rPr>
                <w:rFonts w:ascii="仿宋" w:hAnsi="仿宋" w:eastAsia="仿宋" w:cs="方正仿宋简体"/>
                <w:color w:val="000000"/>
              </w:rPr>
            </w:pPr>
            <w:r>
              <w:rPr>
                <w:rFonts w:ascii="仿宋" w:hAnsi="仿宋" w:eastAsia="仿宋" w:cs="方正仿宋简体"/>
                <w:color w:val="000000"/>
              </w:rPr>
              <w:t>—</w:t>
            </w:r>
          </w:p>
        </w:tc>
        <w:tc>
          <w:tcPr>
            <w:tcW w:w="1332" w:type="dxa"/>
            <w:vAlign w:val="center"/>
          </w:tcPr>
          <w:p>
            <w:pPr>
              <w:widowControl/>
              <w:adjustRightInd w:val="0"/>
              <w:snapToGrid w:val="0"/>
              <w:jc w:val="center"/>
              <w:rPr>
                <w:rFonts w:ascii="仿宋" w:hAnsi="仿宋" w:eastAsia="仿宋" w:cs="方正仿宋简体"/>
                <w:color w:val="000000"/>
              </w:rPr>
            </w:pPr>
            <w:r>
              <w:rPr>
                <w:rFonts w:ascii="仿宋" w:hAnsi="仿宋" w:eastAsia="仿宋" w:cs="方正仿宋简体"/>
                <w:color w:val="000000"/>
              </w:rPr>
              <w:t>完成下</w:t>
            </w:r>
          </w:p>
          <w:p>
            <w:pPr>
              <w:widowControl/>
              <w:adjustRightInd w:val="0"/>
              <w:snapToGrid w:val="0"/>
              <w:jc w:val="center"/>
              <w:rPr>
                <w:rFonts w:ascii="仿宋" w:hAnsi="仿宋" w:eastAsia="仿宋" w:cs="方正仿宋简体"/>
                <w:color w:val="000000"/>
              </w:rPr>
            </w:pPr>
            <w:r>
              <w:rPr>
                <w:rFonts w:ascii="仿宋" w:hAnsi="仿宋" w:eastAsia="仿宋" w:cs="方正仿宋简体"/>
                <w:color w:val="000000"/>
              </w:rPr>
              <w:t>达任务</w:t>
            </w:r>
          </w:p>
        </w:tc>
      </w:tr>
    </w:tbl>
    <w:p/>
    <w:p>
      <w:pPr>
        <w:adjustRightInd w:val="0"/>
        <w:snapToGrid w:val="0"/>
        <w:spacing w:line="360" w:lineRule="auto"/>
        <w:rPr>
          <w:rFonts w:ascii="黑体" w:hAnsi="黑体" w:eastAsia="黑体"/>
        </w:rPr>
      </w:pPr>
      <w:r>
        <w:rPr>
          <w:rFonts w:hint="eastAsia" w:ascii="黑体" w:hAnsi="黑体" w:eastAsia="黑体"/>
          <w:sz w:val="30"/>
          <w:szCs w:val="30"/>
        </w:rPr>
        <w:t>二、2035远景目标</w:t>
      </w:r>
      <w:r>
        <w:rPr>
          <w:rFonts w:hint="eastAsia" w:ascii="黑体" w:hAnsi="黑体" w:eastAsia="黑体"/>
        </w:rPr>
        <w:t xml:space="preserve"> </w:t>
      </w:r>
    </w:p>
    <w:p>
      <w:pPr>
        <w:shd w:val="clear" w:color="auto" w:fill="FFFFFF"/>
        <w:adjustRightInd w:val="0"/>
        <w:snapToGrid w:val="0"/>
        <w:spacing w:line="360" w:lineRule="auto"/>
        <w:ind w:firstLine="600" w:firstLineChars="200"/>
        <w:rPr>
          <w:rFonts w:ascii="仿宋" w:hAnsi="仿宋" w:eastAsia="仿宋"/>
          <w:bCs/>
          <w:color w:val="000000"/>
          <w:sz w:val="30"/>
          <w:szCs w:val="30"/>
        </w:rPr>
      </w:pPr>
      <w:r>
        <w:rPr>
          <w:rFonts w:hint="eastAsia" w:ascii="仿宋" w:hAnsi="仿宋" w:eastAsia="仿宋"/>
          <w:bCs/>
          <w:color w:val="000000"/>
          <w:sz w:val="30"/>
          <w:szCs w:val="30"/>
        </w:rPr>
        <w:t>园区实力进一步增强，力争在2035年园区整体实力再上新台阶，对泸县工业经济带动作用更加明显。产业特色更加鲜明，</w:t>
      </w:r>
      <w:r>
        <w:rPr>
          <w:rFonts w:hint="eastAsia" w:ascii="仿宋" w:hAnsi="仿宋" w:eastAsia="仿宋"/>
          <w:sz w:val="30"/>
          <w:szCs w:val="30"/>
        </w:rPr>
        <w:t>酿酒、绿色化工、新材料三大主导产业形成龙头引领型的产业集群，产业基础更加雄厚；装备制造和电子信息两大产业深度融入成渝地区产业生态圈，成为成渝地区双城经济圈万亿级产业的重要配套和支撑。创新能力持续提升，园区成为以创新引领、战略性新兴产业占主导的科技型园区。</w:t>
      </w:r>
      <w:r>
        <w:rPr>
          <w:rFonts w:hint="eastAsia" w:ascii="仿宋" w:hAnsi="仿宋" w:eastAsia="仿宋"/>
          <w:bCs/>
          <w:color w:val="000000"/>
          <w:sz w:val="30"/>
          <w:szCs w:val="30"/>
        </w:rPr>
        <w:t>经济社会效益和生态环境效益有机统一，为泸县乃至泸州市经济社会高质量发展重要支撑和推动力。</w:t>
      </w:r>
    </w:p>
    <w:p>
      <w:pPr>
        <w:shd w:val="clear" w:color="auto" w:fill="FFFFFF"/>
        <w:adjustRightInd w:val="0"/>
        <w:snapToGrid w:val="0"/>
        <w:spacing w:line="360" w:lineRule="auto"/>
        <w:ind w:firstLine="600" w:firstLineChars="200"/>
        <w:jc w:val="center"/>
        <w:rPr>
          <w:rFonts w:ascii="仿宋" w:hAnsi="仿宋" w:eastAsia="仿宋"/>
          <w:bCs/>
          <w:color w:val="000000"/>
          <w:sz w:val="30"/>
          <w:szCs w:val="30"/>
        </w:rPr>
      </w:pPr>
    </w:p>
    <w:p>
      <w:pPr>
        <w:pStyle w:val="2"/>
        <w:adjustRightInd w:val="0"/>
        <w:snapToGrid w:val="0"/>
        <w:spacing w:beforeLines="50" w:afterLines="50" w:line="360" w:lineRule="auto"/>
        <w:jc w:val="center"/>
        <w:rPr>
          <w:rFonts w:ascii="黑体" w:hAnsi="黑体" w:eastAsia="黑体"/>
          <w:b w:val="0"/>
          <w:color w:val="000000"/>
          <w:kern w:val="2"/>
        </w:rPr>
      </w:pPr>
      <w:r>
        <w:br w:type="page"/>
      </w:r>
      <w:bookmarkStart w:id="15" w:name="_Toc54617022"/>
      <w:bookmarkStart w:id="16" w:name="_Toc91676432"/>
      <w:r>
        <w:rPr>
          <w:rFonts w:hint="eastAsia" w:ascii="黑体" w:hAnsi="黑体" w:eastAsia="黑体"/>
          <w:bCs w:val="0"/>
          <w:color w:val="000000"/>
          <w:kern w:val="2"/>
        </w:rPr>
        <w:t xml:space="preserve">第三章 </w:t>
      </w:r>
      <w:r>
        <w:rPr>
          <w:rFonts w:ascii="黑体" w:hAnsi="黑体" w:eastAsia="黑体"/>
          <w:bCs w:val="0"/>
          <w:color w:val="000000"/>
          <w:kern w:val="2"/>
        </w:rPr>
        <w:t xml:space="preserve"> </w:t>
      </w:r>
      <w:bookmarkEnd w:id="15"/>
      <w:r>
        <w:rPr>
          <w:rFonts w:hint="eastAsia" w:ascii="黑体" w:hAnsi="黑体" w:eastAsia="黑体"/>
          <w:bCs w:val="0"/>
          <w:color w:val="000000"/>
          <w:kern w:val="2"/>
        </w:rPr>
        <w:t>空间布局</w:t>
      </w:r>
      <w:bookmarkEnd w:id="16"/>
    </w:p>
    <w:p>
      <w:pPr>
        <w:adjustRightInd w:val="0"/>
        <w:snapToGrid w:val="0"/>
        <w:spacing w:line="360" w:lineRule="auto"/>
        <w:ind w:firstLine="591" w:firstLineChars="197"/>
        <w:rPr>
          <w:rFonts w:ascii="仿宋" w:hAnsi="仿宋" w:eastAsia="仿宋"/>
          <w:sz w:val="30"/>
          <w:szCs w:val="30"/>
        </w:rPr>
      </w:pPr>
      <w:r>
        <w:rPr>
          <w:rFonts w:hint="eastAsia" w:ascii="仿宋" w:hAnsi="仿宋" w:eastAsia="仿宋"/>
          <w:sz w:val="30"/>
          <w:szCs w:val="30"/>
        </w:rPr>
        <w:t>泸县经济开发区打造“一区两园”空间结构，分别为城西工业园与神仙桥产业园。</w:t>
      </w:r>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17" w:name="_Toc54617023"/>
      <w:bookmarkStart w:id="18" w:name="_Toc91676433"/>
      <w:r>
        <w:rPr>
          <w:rFonts w:hint="eastAsia" w:ascii="黑体" w:hAnsi="黑体" w:eastAsia="黑体" w:cs="Times New Roman"/>
          <w:bCs w:val="0"/>
          <w:color w:val="000000"/>
        </w:rPr>
        <w:t xml:space="preserve">第一节 </w:t>
      </w:r>
      <w:r>
        <w:rPr>
          <w:rFonts w:ascii="黑体" w:hAnsi="黑体" w:eastAsia="黑体" w:cs="Times New Roman"/>
          <w:bCs w:val="0"/>
          <w:color w:val="000000"/>
        </w:rPr>
        <w:t xml:space="preserve"> </w:t>
      </w:r>
      <w:bookmarkEnd w:id="17"/>
      <w:r>
        <w:rPr>
          <w:rFonts w:hint="eastAsia" w:ascii="黑体" w:hAnsi="黑体" w:eastAsia="黑体" w:cs="Times New Roman"/>
          <w:bCs w:val="0"/>
          <w:color w:val="000000"/>
        </w:rPr>
        <w:t>总体布局</w:t>
      </w:r>
      <w:bookmarkEnd w:id="18"/>
    </w:p>
    <w:p>
      <w:pPr>
        <w:adjustRightInd w:val="0"/>
        <w:snapToGrid w:val="0"/>
        <w:spacing w:line="360" w:lineRule="auto"/>
        <w:ind w:firstLine="591" w:firstLineChars="197"/>
        <w:rPr>
          <w:rFonts w:ascii="仿宋" w:hAnsi="仿宋" w:eastAsia="仿宋"/>
          <w:sz w:val="30"/>
          <w:szCs w:val="30"/>
        </w:rPr>
      </w:pPr>
      <w:r>
        <w:rPr>
          <w:rFonts w:hint="eastAsia" w:ascii="仿宋" w:hAnsi="仿宋" w:eastAsia="仿宋"/>
          <w:sz w:val="30"/>
          <w:szCs w:val="30"/>
        </w:rPr>
        <w:t>泸县经济开发区在总体空间上为“一区两园”结构。“一区”为泸县经济开发区，“两园”为城西工业园和神仙桥产业园。</w:t>
      </w:r>
    </w:p>
    <w:p>
      <w:pPr>
        <w:adjustRightInd w:val="0"/>
        <w:snapToGrid w:val="0"/>
        <w:spacing w:line="360" w:lineRule="auto"/>
        <w:rPr>
          <w:rFonts w:ascii="仿宋" w:hAnsi="仿宋" w:eastAsia="仿宋"/>
          <w:sz w:val="30"/>
          <w:szCs w:val="30"/>
        </w:rPr>
      </w:pPr>
      <w:r>
        <w:rPr>
          <w:rFonts w:ascii="仿宋" w:hAnsi="仿宋" w:eastAsia="仿宋"/>
          <w:sz w:val="30"/>
          <w:szCs w:val="30"/>
        </w:rPr>
        <w:drawing>
          <wp:inline distT="0" distB="0" distL="0" distR="0">
            <wp:extent cx="5273675" cy="5331460"/>
            <wp:effectExtent l="0" t="0" r="0" b="0"/>
            <wp:docPr id="6" name="图片 7" descr="I:\泸县经开区修编\产业规划资料\产业规划资料\1-3泸县对外交通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泸县经开区修编\产业规划资料\产业规划资料\1-3泸县对外交通图.jpg"/>
                    <pic:cNvPicPr>
                      <a:picLocks noChangeAspect="1" noChangeArrowheads="1"/>
                    </pic:cNvPicPr>
                  </pic:nvPicPr>
                  <pic:blipFill>
                    <a:blip r:embed="rId9" cstate="print"/>
                    <a:srcRect/>
                    <a:stretch>
                      <a:fillRect/>
                    </a:stretch>
                  </pic:blipFill>
                  <pic:spPr>
                    <a:xfrm>
                      <a:off x="0" y="0"/>
                      <a:ext cx="5283881" cy="5341644"/>
                    </a:xfrm>
                    <a:prstGeom prst="rect">
                      <a:avLst/>
                    </a:prstGeom>
                    <a:noFill/>
                    <a:ln w="9525">
                      <a:noFill/>
                      <a:miter lim="800000"/>
                      <a:headEnd/>
                      <a:tailEnd/>
                    </a:ln>
                  </pic:spPr>
                </pic:pic>
              </a:graphicData>
            </a:graphic>
          </wp:inline>
        </w:drawing>
      </w:r>
    </w:p>
    <w:p>
      <w:pPr>
        <w:shd w:val="clear" w:color="auto" w:fill="FFFFFF"/>
        <w:adjustRightInd w:val="0"/>
        <w:snapToGrid w:val="0"/>
        <w:spacing w:afterLines="50" w:line="360" w:lineRule="auto"/>
        <w:ind w:firstLine="560" w:firstLineChars="200"/>
        <w:jc w:val="center"/>
        <w:rPr>
          <w:rFonts w:ascii="黑体" w:hAnsi="黑体" w:eastAsia="黑体"/>
          <w:sz w:val="28"/>
          <w:szCs w:val="28"/>
        </w:rPr>
      </w:pPr>
      <w:r>
        <w:rPr>
          <w:rFonts w:hint="eastAsia" w:ascii="黑体" w:hAnsi="黑体" w:eastAsia="黑体"/>
          <w:sz w:val="28"/>
          <w:szCs w:val="28"/>
        </w:rPr>
        <w:t>图3-1 泸县经济开发区“一区两园”空间位置图</w:t>
      </w:r>
    </w:p>
    <w:p>
      <w:pPr>
        <w:adjustRightInd w:val="0"/>
        <w:snapToGrid w:val="0"/>
        <w:spacing w:line="360" w:lineRule="auto"/>
        <w:ind w:firstLine="591" w:firstLineChars="197"/>
        <w:rPr>
          <w:rFonts w:ascii="仿宋" w:hAnsi="仿宋" w:eastAsia="仿宋"/>
          <w:sz w:val="30"/>
          <w:szCs w:val="30"/>
        </w:rPr>
      </w:pPr>
      <w:r>
        <w:rPr>
          <w:rFonts w:hint="eastAsia" w:ascii="仿宋" w:hAnsi="仿宋" w:eastAsia="仿宋"/>
          <w:sz w:val="30"/>
          <w:szCs w:val="30"/>
        </w:rPr>
        <w:t>城西工业园位于县城西面，距离县城约</w:t>
      </w:r>
      <w:r>
        <w:rPr>
          <w:rFonts w:eastAsia="仿宋"/>
          <w:sz w:val="30"/>
          <w:szCs w:val="30"/>
        </w:rPr>
        <w:t>3</w:t>
      </w:r>
      <w:r>
        <w:rPr>
          <w:rFonts w:hint="eastAsia" w:ascii="仿宋" w:hAnsi="仿宋" w:eastAsia="仿宋"/>
          <w:sz w:val="30"/>
          <w:szCs w:val="30"/>
        </w:rPr>
        <w:t>公里。城西工业园产业发展定位为白酒产业和装备制造、电子信息产业。做优做强以酒业为主的健康食品产业，培育发展装备制造及电子信息等潜在优势产业。</w:t>
      </w:r>
    </w:p>
    <w:p>
      <w:pPr>
        <w:adjustRightInd w:val="0"/>
        <w:snapToGrid w:val="0"/>
        <w:spacing w:line="360" w:lineRule="auto"/>
        <w:ind w:firstLine="591" w:firstLineChars="197"/>
        <w:rPr>
          <w:rFonts w:ascii="仿宋" w:hAnsi="仿宋" w:eastAsia="仿宋"/>
          <w:sz w:val="30"/>
          <w:szCs w:val="30"/>
        </w:rPr>
      </w:pPr>
      <w:r>
        <w:rPr>
          <w:rFonts w:hint="eastAsia" w:ascii="仿宋" w:hAnsi="仿宋" w:eastAsia="仿宋"/>
          <w:sz w:val="30"/>
          <w:szCs w:val="30"/>
        </w:rPr>
        <w:t>神仙桥产业园位于泸县东南太伏镇，距离泸县县城约</w:t>
      </w:r>
      <w:r>
        <w:rPr>
          <w:rFonts w:eastAsia="仿宋"/>
          <w:sz w:val="30"/>
          <w:szCs w:val="30"/>
        </w:rPr>
        <w:t>30</w:t>
      </w:r>
      <w:r>
        <w:rPr>
          <w:rFonts w:hint="eastAsia" w:ascii="仿宋" w:hAnsi="仿宋" w:eastAsia="仿宋"/>
          <w:sz w:val="30"/>
          <w:szCs w:val="30"/>
        </w:rPr>
        <w:t>公里。神仙桥产业园产业发展定位为主要发展绿色化工产业，并延伸发展与化工产业紧密关联的新材料产业。</w:t>
      </w:r>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19" w:name="_Toc91676434"/>
      <w:bookmarkStart w:id="20" w:name="_Toc54617024"/>
      <w:r>
        <w:rPr>
          <w:rFonts w:hint="eastAsia" w:ascii="黑体" w:hAnsi="黑体" w:eastAsia="黑体" w:cs="Times New Roman"/>
          <w:bCs w:val="0"/>
          <w:color w:val="000000"/>
        </w:rPr>
        <w:t xml:space="preserve">第二节 </w:t>
      </w:r>
      <w:r>
        <w:rPr>
          <w:rFonts w:ascii="黑体" w:hAnsi="黑体" w:eastAsia="黑体" w:cs="Times New Roman"/>
          <w:bCs w:val="0"/>
          <w:color w:val="000000"/>
        </w:rPr>
        <w:t xml:space="preserve"> </w:t>
      </w:r>
      <w:r>
        <w:rPr>
          <w:rFonts w:hint="eastAsia" w:ascii="黑体" w:hAnsi="黑体" w:eastAsia="黑体" w:cs="Times New Roman"/>
          <w:bCs w:val="0"/>
          <w:color w:val="000000"/>
        </w:rPr>
        <w:t>功能分区</w:t>
      </w:r>
      <w:bookmarkEnd w:id="19"/>
      <w:bookmarkEnd w:id="20"/>
    </w:p>
    <w:p>
      <w:pPr>
        <w:pStyle w:val="4"/>
        <w:adjustRightInd w:val="0"/>
        <w:snapToGrid w:val="0"/>
        <w:spacing w:before="0" w:after="0" w:line="360" w:lineRule="auto"/>
        <w:ind w:firstLine="602" w:firstLineChars="200"/>
        <w:rPr>
          <w:rFonts w:ascii="黑体" w:hAnsi="黑体" w:eastAsia="黑体"/>
          <w:sz w:val="30"/>
          <w:szCs w:val="30"/>
        </w:rPr>
      </w:pPr>
      <w:r>
        <w:rPr>
          <w:rFonts w:hint="eastAsia" w:ascii="黑体" w:hAnsi="黑体" w:eastAsia="黑体"/>
          <w:sz w:val="30"/>
          <w:szCs w:val="30"/>
        </w:rPr>
        <w:t>一、城西工业园空间功能分区</w:t>
      </w:r>
    </w:p>
    <w:p>
      <w:pPr>
        <w:adjustRightInd w:val="0"/>
        <w:snapToGrid w:val="0"/>
        <w:spacing w:line="360" w:lineRule="auto"/>
        <w:ind w:firstLine="591" w:firstLineChars="197"/>
        <w:rPr>
          <w:rFonts w:ascii="仿宋" w:hAnsi="仿宋" w:eastAsia="仿宋"/>
          <w:sz w:val="30"/>
          <w:szCs w:val="30"/>
        </w:rPr>
      </w:pPr>
      <w:r>
        <w:rPr>
          <w:rFonts w:hint="eastAsia" w:ascii="仿宋" w:hAnsi="仿宋" w:eastAsia="仿宋"/>
          <w:sz w:val="30"/>
          <w:szCs w:val="30"/>
        </w:rPr>
        <w:t>（1）功能定位</w:t>
      </w:r>
    </w:p>
    <w:p>
      <w:pPr>
        <w:adjustRightInd w:val="0"/>
        <w:snapToGrid w:val="0"/>
        <w:spacing w:line="360" w:lineRule="auto"/>
        <w:ind w:firstLine="591" w:firstLineChars="197"/>
        <w:rPr>
          <w:rFonts w:ascii="仿宋" w:hAnsi="仿宋" w:eastAsia="仿宋"/>
          <w:sz w:val="30"/>
          <w:szCs w:val="30"/>
        </w:rPr>
      </w:pPr>
      <w:r>
        <w:rPr>
          <w:rFonts w:hint="eastAsia" w:ascii="仿宋" w:hAnsi="仿宋" w:eastAsia="仿宋"/>
          <w:sz w:val="30"/>
          <w:szCs w:val="30"/>
        </w:rPr>
        <w:t>——全国重要优质白酒生产基地。</w:t>
      </w:r>
    </w:p>
    <w:p>
      <w:pPr>
        <w:adjustRightInd w:val="0"/>
        <w:snapToGrid w:val="0"/>
        <w:spacing w:line="360" w:lineRule="auto"/>
        <w:ind w:firstLine="591" w:firstLineChars="197"/>
        <w:rPr>
          <w:rFonts w:ascii="仿宋" w:hAnsi="仿宋" w:eastAsia="仿宋"/>
          <w:sz w:val="30"/>
          <w:szCs w:val="30"/>
        </w:rPr>
      </w:pPr>
      <w:r>
        <w:rPr>
          <w:rFonts w:hint="eastAsia" w:ascii="仿宋" w:hAnsi="仿宋" w:eastAsia="仿宋"/>
          <w:sz w:val="30"/>
          <w:szCs w:val="30"/>
        </w:rPr>
        <w:t>——长江上游承接产业转移示范区。</w:t>
      </w:r>
    </w:p>
    <w:p>
      <w:pPr>
        <w:adjustRightInd w:val="0"/>
        <w:snapToGrid w:val="0"/>
        <w:spacing w:line="360" w:lineRule="auto"/>
        <w:ind w:firstLine="591" w:firstLineChars="197"/>
        <w:rPr>
          <w:rFonts w:ascii="仿宋" w:hAnsi="仿宋" w:eastAsia="仿宋"/>
          <w:sz w:val="30"/>
          <w:szCs w:val="30"/>
        </w:rPr>
      </w:pPr>
      <w:r>
        <w:rPr>
          <w:rFonts w:hint="eastAsia" w:ascii="仿宋" w:hAnsi="仿宋" w:eastAsia="仿宋"/>
          <w:sz w:val="30"/>
          <w:szCs w:val="30"/>
        </w:rPr>
        <w:t>（2）功能分区</w:t>
      </w:r>
    </w:p>
    <w:p>
      <w:pPr>
        <w:adjustRightInd w:val="0"/>
        <w:snapToGrid w:val="0"/>
        <w:spacing w:line="360" w:lineRule="auto"/>
        <w:ind w:firstLine="591" w:firstLineChars="197"/>
        <w:rPr>
          <w:rFonts w:ascii="仿宋" w:hAnsi="仿宋" w:eastAsia="仿宋"/>
          <w:sz w:val="30"/>
          <w:szCs w:val="30"/>
        </w:rPr>
      </w:pPr>
      <w:r>
        <w:rPr>
          <w:rFonts w:hint="eastAsia" w:ascii="仿宋" w:hAnsi="仿宋" w:eastAsia="仿宋"/>
          <w:sz w:val="30"/>
          <w:szCs w:val="30"/>
        </w:rPr>
        <w:t>城西工业园分为以下三大功能区：</w:t>
      </w:r>
    </w:p>
    <w:p>
      <w:pPr>
        <w:adjustRightInd w:val="0"/>
        <w:snapToGrid w:val="0"/>
        <w:spacing w:line="360" w:lineRule="auto"/>
        <w:ind w:firstLine="591" w:firstLineChars="197"/>
        <w:rPr>
          <w:rFonts w:ascii="仿宋" w:hAnsi="仿宋" w:eastAsia="仿宋"/>
          <w:sz w:val="30"/>
          <w:szCs w:val="30"/>
        </w:rPr>
      </w:pPr>
      <w:r>
        <w:rPr>
          <w:rFonts w:hint="eastAsia" w:ascii="仿宋" w:hAnsi="仿宋" w:eastAsia="仿宋"/>
          <w:sz w:val="30"/>
          <w:szCs w:val="30"/>
        </w:rPr>
        <w:t>——白酒产业功能区：主要依托泸县基酒产业优势，大力发展白酒制造、加工、生产、流通产业，引入龙头企业，形成白酒产业集群，带动相关商贸发展。</w:t>
      </w:r>
    </w:p>
    <w:p>
      <w:pPr>
        <w:adjustRightInd w:val="0"/>
        <w:snapToGrid w:val="0"/>
        <w:spacing w:line="360" w:lineRule="auto"/>
        <w:ind w:firstLine="591" w:firstLineChars="197"/>
        <w:rPr>
          <w:rFonts w:ascii="仿宋" w:hAnsi="仿宋" w:eastAsia="仿宋"/>
          <w:sz w:val="30"/>
          <w:szCs w:val="30"/>
        </w:rPr>
      </w:pPr>
      <w:r>
        <w:rPr>
          <w:rFonts w:hint="eastAsia" w:ascii="仿宋" w:hAnsi="仿宋" w:eastAsia="仿宋"/>
          <w:sz w:val="30"/>
          <w:szCs w:val="30"/>
        </w:rPr>
        <w:t>——装备制造产业功能区：依托开发区已有的装备制造产业发展基础，着力在对传统装备制造产业进行改造提升的基础上，着力依托本地区位和交通优势在大型装备制造总装方面有所突破。</w:t>
      </w:r>
    </w:p>
    <w:p>
      <w:pPr>
        <w:adjustRightInd w:val="0"/>
        <w:snapToGrid w:val="0"/>
        <w:spacing w:line="360" w:lineRule="auto"/>
        <w:ind w:firstLine="591" w:firstLineChars="197"/>
        <w:rPr>
          <w:rFonts w:ascii="仿宋" w:hAnsi="仿宋" w:eastAsia="仿宋"/>
          <w:sz w:val="30"/>
          <w:szCs w:val="30"/>
        </w:rPr>
      </w:pPr>
      <w:r>
        <w:rPr>
          <w:rFonts w:hint="eastAsia" w:ascii="仿宋" w:hAnsi="仿宋" w:eastAsia="仿宋"/>
          <w:sz w:val="30"/>
          <w:szCs w:val="30"/>
        </w:rPr>
        <w:t>——电子信息产业功能区：充分利用地处成渝结合部和成渝电子信息产业快速发展的市场机遇，着力在移动智能终端、汽车电子等方面发力，力争形成成渝电子信息产业配套生产基地。</w:t>
      </w:r>
    </w:p>
    <w:p>
      <w:pPr>
        <w:adjustRightInd w:val="0"/>
        <w:snapToGrid w:val="0"/>
        <w:spacing w:line="360" w:lineRule="auto"/>
        <w:ind w:firstLine="591" w:firstLineChars="197"/>
        <w:rPr>
          <w:rFonts w:ascii="仿宋" w:hAnsi="仿宋" w:eastAsia="仿宋"/>
          <w:sz w:val="30"/>
          <w:szCs w:val="30"/>
        </w:rPr>
      </w:pPr>
      <w:r>
        <w:rPr>
          <w:rFonts w:hint="eastAsia" w:ascii="仿宋" w:hAnsi="仿宋" w:eastAsia="仿宋"/>
          <w:sz w:val="30"/>
          <w:szCs w:val="30"/>
        </w:rPr>
        <w:t>——综合配套服务区：主要培育和发展检验检测、科技开发、产品设计、人才培训、物流建设、融资平台等生产性服务业，构建集研发设计、检验检测、加工制造、物流建设、售后服务与人才培训等于一体的生产服务体系。</w:t>
      </w:r>
    </w:p>
    <w:p>
      <w:pPr>
        <w:adjustRightInd w:val="0"/>
        <w:snapToGrid w:val="0"/>
        <w:spacing w:line="360" w:lineRule="auto"/>
        <w:jc w:val="center"/>
        <w:rPr>
          <w:rFonts w:ascii="仿宋" w:hAnsi="仿宋" w:eastAsia="仿宋"/>
          <w:sz w:val="30"/>
          <w:szCs w:val="30"/>
        </w:rPr>
      </w:pPr>
      <w:r>
        <w:rPr>
          <w:rFonts w:ascii="仿宋" w:hAnsi="仿宋" w:eastAsia="仿宋"/>
          <w:sz w:val="30"/>
          <w:szCs w:val="30"/>
        </w:rPr>
        <w:drawing>
          <wp:inline distT="0" distB="0" distL="0" distR="0">
            <wp:extent cx="4373880" cy="3931920"/>
            <wp:effectExtent l="19050" t="0" r="7620" b="0"/>
            <wp:docPr id="9" name="图片 4" descr="C:\Users\SC-IND~1\AppData\Local\Temp\16400074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C:\Users\SC-IND~1\AppData\Local\Temp\1640007482(1).png"/>
                    <pic:cNvPicPr>
                      <a:picLocks noChangeAspect="1" noChangeArrowheads="1"/>
                    </pic:cNvPicPr>
                  </pic:nvPicPr>
                  <pic:blipFill>
                    <a:blip r:embed="rId10" cstate="print"/>
                    <a:srcRect/>
                    <a:stretch>
                      <a:fillRect/>
                    </a:stretch>
                  </pic:blipFill>
                  <pic:spPr>
                    <a:xfrm>
                      <a:off x="0" y="0"/>
                      <a:ext cx="4373880" cy="3931920"/>
                    </a:xfrm>
                    <a:prstGeom prst="rect">
                      <a:avLst/>
                    </a:prstGeom>
                    <a:noFill/>
                    <a:ln w="9525">
                      <a:noFill/>
                      <a:miter lim="800000"/>
                      <a:headEnd/>
                      <a:tailEnd/>
                    </a:ln>
                  </pic:spPr>
                </pic:pic>
              </a:graphicData>
            </a:graphic>
          </wp:inline>
        </w:drawing>
      </w:r>
    </w:p>
    <w:p>
      <w:pPr>
        <w:shd w:val="clear" w:color="auto" w:fill="FFFFFF"/>
        <w:adjustRightInd w:val="0"/>
        <w:snapToGrid w:val="0"/>
        <w:spacing w:beforeLines="50" w:afterLines="50" w:line="360" w:lineRule="auto"/>
        <w:jc w:val="center"/>
        <w:rPr>
          <w:rFonts w:ascii="黑体" w:hAnsi="黑体" w:eastAsia="黑体"/>
          <w:sz w:val="28"/>
          <w:szCs w:val="28"/>
        </w:rPr>
      </w:pPr>
      <w:r>
        <w:rPr>
          <w:rFonts w:hint="eastAsia" w:ascii="黑体" w:hAnsi="黑体" w:eastAsia="黑体"/>
          <w:sz w:val="28"/>
          <w:szCs w:val="28"/>
        </w:rPr>
        <w:t>图3-2  城西工业园空间功能分区</w:t>
      </w:r>
    </w:p>
    <w:p>
      <w:pPr>
        <w:shd w:val="clear" w:color="auto" w:fill="FFFFFF"/>
        <w:adjustRightInd w:val="0"/>
        <w:snapToGrid w:val="0"/>
        <w:spacing w:beforeLines="50" w:afterLines="50" w:line="360" w:lineRule="auto"/>
        <w:jc w:val="center"/>
        <w:rPr>
          <w:rFonts w:ascii="黑体" w:hAnsi="黑体" w:eastAsia="黑体"/>
          <w:sz w:val="28"/>
          <w:szCs w:val="28"/>
        </w:rPr>
      </w:pPr>
    </w:p>
    <w:p>
      <w:pPr>
        <w:pStyle w:val="4"/>
        <w:adjustRightInd w:val="0"/>
        <w:snapToGrid w:val="0"/>
        <w:spacing w:before="0" w:after="0" w:line="360" w:lineRule="auto"/>
        <w:ind w:firstLine="602" w:firstLineChars="200"/>
        <w:rPr>
          <w:rFonts w:ascii="黑体" w:hAnsi="黑体" w:eastAsia="黑体"/>
          <w:sz w:val="30"/>
          <w:szCs w:val="30"/>
        </w:rPr>
      </w:pPr>
      <w:r>
        <w:rPr>
          <w:rFonts w:hint="eastAsia" w:ascii="黑体" w:hAnsi="黑体" w:eastAsia="黑体"/>
          <w:sz w:val="30"/>
          <w:szCs w:val="30"/>
        </w:rPr>
        <w:t>二、神仙桥产业园空间功能分区</w:t>
      </w:r>
    </w:p>
    <w:p>
      <w:pPr>
        <w:adjustRightInd w:val="0"/>
        <w:snapToGrid w:val="0"/>
        <w:spacing w:line="360" w:lineRule="auto"/>
        <w:ind w:firstLine="591" w:firstLineChars="197"/>
        <w:rPr>
          <w:rFonts w:ascii="仿宋" w:hAnsi="仿宋" w:eastAsia="仿宋"/>
          <w:sz w:val="30"/>
          <w:szCs w:val="30"/>
        </w:rPr>
      </w:pPr>
      <w:r>
        <w:rPr>
          <w:rFonts w:hint="eastAsia" w:ascii="仿宋" w:hAnsi="仿宋" w:eastAsia="仿宋"/>
          <w:sz w:val="30"/>
          <w:szCs w:val="30"/>
        </w:rPr>
        <w:t>（1）功能定位</w:t>
      </w:r>
    </w:p>
    <w:p>
      <w:pPr>
        <w:pStyle w:val="143"/>
        <w:adjustRightInd w:val="0"/>
        <w:snapToGrid w:val="0"/>
        <w:spacing w:line="360" w:lineRule="auto"/>
        <w:ind w:firstLine="600" w:firstLineChars="200"/>
        <w:rPr>
          <w:rFonts w:ascii="仿宋" w:hAnsi="仿宋" w:eastAsia="仿宋" w:cs="宋体"/>
          <w:kern w:val="0"/>
          <w:sz w:val="30"/>
          <w:szCs w:val="30"/>
        </w:rPr>
      </w:pPr>
      <w:r>
        <w:rPr>
          <w:rFonts w:hint="eastAsia" w:ascii="仿宋" w:hAnsi="仿宋" w:eastAsia="仿宋" w:cs="宋体"/>
          <w:kern w:val="0"/>
          <w:sz w:val="30"/>
          <w:szCs w:val="30"/>
        </w:rPr>
        <w:t>——成渝双城经济圈重要化工产业基地。</w:t>
      </w:r>
    </w:p>
    <w:p>
      <w:pPr>
        <w:pStyle w:val="143"/>
        <w:adjustRightInd w:val="0"/>
        <w:snapToGrid w:val="0"/>
        <w:spacing w:line="360" w:lineRule="auto"/>
        <w:ind w:firstLine="600" w:firstLineChars="200"/>
        <w:rPr>
          <w:rFonts w:ascii="仿宋" w:hAnsi="仿宋" w:eastAsia="仿宋" w:cs="宋体"/>
          <w:kern w:val="0"/>
          <w:sz w:val="30"/>
          <w:szCs w:val="30"/>
        </w:rPr>
      </w:pPr>
      <w:r>
        <w:rPr>
          <w:rFonts w:hint="eastAsia" w:ascii="仿宋" w:hAnsi="仿宋" w:eastAsia="仿宋" w:cs="宋体"/>
          <w:bCs/>
          <w:kern w:val="0"/>
          <w:sz w:val="30"/>
          <w:szCs w:val="30"/>
        </w:rPr>
        <w:t>——川渝黔结合部新材料产业集聚区</w:t>
      </w:r>
      <w:r>
        <w:rPr>
          <w:rFonts w:hint="eastAsia" w:ascii="仿宋" w:hAnsi="仿宋" w:eastAsia="仿宋" w:cs="宋体"/>
          <w:kern w:val="0"/>
          <w:sz w:val="30"/>
          <w:szCs w:val="30"/>
        </w:rPr>
        <w:t>。</w:t>
      </w:r>
    </w:p>
    <w:p>
      <w:pPr>
        <w:adjustRightInd w:val="0"/>
        <w:snapToGrid w:val="0"/>
        <w:spacing w:line="360" w:lineRule="auto"/>
        <w:ind w:firstLine="591" w:firstLineChars="197"/>
        <w:rPr>
          <w:rFonts w:ascii="仿宋" w:hAnsi="仿宋" w:eastAsia="仿宋"/>
          <w:sz w:val="30"/>
          <w:szCs w:val="30"/>
        </w:rPr>
      </w:pPr>
      <w:r>
        <w:rPr>
          <w:rFonts w:hint="eastAsia" w:ascii="仿宋" w:hAnsi="仿宋" w:eastAsia="仿宋"/>
          <w:sz w:val="30"/>
          <w:szCs w:val="30"/>
        </w:rPr>
        <w:t>（2）功能分区</w:t>
      </w:r>
    </w:p>
    <w:p>
      <w:pPr>
        <w:adjustRightInd w:val="0"/>
        <w:snapToGrid w:val="0"/>
        <w:spacing w:line="360" w:lineRule="auto"/>
        <w:ind w:firstLine="591" w:firstLineChars="197"/>
        <w:rPr>
          <w:rFonts w:ascii="仿宋" w:hAnsi="仿宋" w:eastAsia="仿宋"/>
          <w:sz w:val="30"/>
          <w:szCs w:val="30"/>
        </w:rPr>
      </w:pPr>
      <w:r>
        <w:rPr>
          <w:rFonts w:hint="eastAsia" w:ascii="仿宋" w:hAnsi="仿宋" w:eastAsia="仿宋"/>
          <w:sz w:val="30"/>
          <w:szCs w:val="30"/>
        </w:rPr>
        <w:t>神仙桥产业园主要打造以下两大功能区：</w:t>
      </w:r>
    </w:p>
    <w:p>
      <w:pPr>
        <w:adjustRightInd w:val="0"/>
        <w:snapToGrid w:val="0"/>
        <w:spacing w:line="360" w:lineRule="auto"/>
        <w:ind w:firstLine="591" w:firstLineChars="197"/>
        <w:rPr>
          <w:rFonts w:ascii="仿宋" w:hAnsi="仿宋" w:eastAsia="仿宋"/>
          <w:sz w:val="30"/>
          <w:szCs w:val="30"/>
        </w:rPr>
      </w:pPr>
      <w:r>
        <w:rPr>
          <w:rFonts w:hint="eastAsia" w:ascii="仿宋" w:hAnsi="仿宋" w:eastAsia="仿宋"/>
          <w:sz w:val="30"/>
          <w:szCs w:val="30"/>
        </w:rPr>
        <w:t>——绿色化工产业功能区：依托泸县的资源优势及良好的产业基础，大力发展</w:t>
      </w:r>
      <w:r>
        <w:rPr>
          <w:rFonts w:hint="eastAsia" w:ascii="仿宋" w:hAnsi="仿宋" w:eastAsia="仿宋"/>
          <w:bCs/>
          <w:color w:val="000000"/>
          <w:sz w:val="30"/>
          <w:szCs w:val="30"/>
        </w:rPr>
        <w:t>页岩气综合利用、医药产业（医药中间体和原料药）、精细化工</w:t>
      </w:r>
      <w:r>
        <w:rPr>
          <w:rFonts w:hint="eastAsia" w:ascii="仿宋" w:hAnsi="仿宋" w:eastAsia="仿宋"/>
          <w:sz w:val="30"/>
          <w:szCs w:val="30"/>
        </w:rPr>
        <w:t>等，形成较强资源支撑和较大产业规模的绿色产业集群，建设成为成渝双城经济圈重要化工产业基地。</w:t>
      </w:r>
    </w:p>
    <w:p>
      <w:pPr>
        <w:adjustRightInd w:val="0"/>
        <w:snapToGrid w:val="0"/>
        <w:spacing w:line="360" w:lineRule="auto"/>
        <w:ind w:firstLine="591" w:firstLineChars="197"/>
        <w:rPr>
          <w:rFonts w:ascii="仿宋" w:hAnsi="仿宋" w:eastAsia="仿宋"/>
          <w:sz w:val="30"/>
          <w:szCs w:val="30"/>
        </w:rPr>
      </w:pPr>
      <w:r>
        <w:rPr>
          <w:rFonts w:hint="eastAsia" w:ascii="仿宋" w:hAnsi="仿宋" w:eastAsia="仿宋"/>
          <w:sz w:val="30"/>
          <w:szCs w:val="30"/>
        </w:rPr>
        <w:t>——新材料产业功能区：基于泸县经济开发区现有新材料产业基础，大力发展表面功能材料、新型膜材料、新型催化材料及助剂、新型结构材料、高性能复合材料等新材料产业，成为川渝黔结合部新材料产业集聚区。</w:t>
      </w:r>
    </w:p>
    <w:p>
      <w:pPr>
        <w:jc w:val="center"/>
        <w:rPr>
          <w:rFonts w:ascii="黑体" w:hAnsi="黑体" w:eastAsia="黑体"/>
          <w:color w:val="000000" w:themeColor="text1"/>
          <w:sz w:val="28"/>
          <w:szCs w:val="28"/>
        </w:rPr>
      </w:pPr>
      <w:r>
        <w:t xml:space="preserve"> </w:t>
      </w:r>
      <w:r>
        <w:drawing>
          <wp:inline distT="0" distB="0" distL="0" distR="0">
            <wp:extent cx="5153025" cy="3619500"/>
            <wp:effectExtent l="19050" t="0" r="9525" b="0"/>
            <wp:docPr id="1" name="图片 1" descr="F:\360MoveData\Users\SC-Industry\Documents\Tencent Files\1123269628\FileRecv\MobileFile\Image\@I_]D[`I%16265I3F%$O%7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360MoveData\Users\SC-Industry\Documents\Tencent Files\1123269628\FileRecv\MobileFile\Image\@I_]D[`I%16265I3F%$O%7Y.png"/>
                    <pic:cNvPicPr>
                      <a:picLocks noChangeAspect="1" noChangeArrowheads="1"/>
                    </pic:cNvPicPr>
                  </pic:nvPicPr>
                  <pic:blipFill>
                    <a:blip r:embed="rId11" cstate="print"/>
                    <a:srcRect/>
                    <a:stretch>
                      <a:fillRect/>
                    </a:stretch>
                  </pic:blipFill>
                  <pic:spPr>
                    <a:xfrm>
                      <a:off x="0" y="0"/>
                      <a:ext cx="5153025" cy="3619500"/>
                    </a:xfrm>
                    <a:prstGeom prst="rect">
                      <a:avLst/>
                    </a:prstGeom>
                    <a:noFill/>
                    <a:ln w="9525">
                      <a:noFill/>
                      <a:miter lim="800000"/>
                      <a:headEnd/>
                      <a:tailEnd/>
                    </a:ln>
                  </pic:spPr>
                </pic:pic>
              </a:graphicData>
            </a:graphic>
          </wp:inline>
        </w:drawing>
      </w:r>
    </w:p>
    <w:p>
      <w:pPr>
        <w:shd w:val="clear" w:color="auto" w:fill="FFFFFF"/>
        <w:adjustRightInd w:val="0"/>
        <w:snapToGrid w:val="0"/>
        <w:spacing w:beforeLines="50" w:afterLines="50" w:line="360" w:lineRule="auto"/>
        <w:jc w:val="center"/>
        <w:rPr>
          <w:rFonts w:ascii="黑体" w:hAnsi="黑体" w:eastAsia="黑体"/>
          <w:color w:val="000000" w:themeColor="text1"/>
          <w:sz w:val="28"/>
          <w:szCs w:val="28"/>
        </w:rPr>
      </w:pPr>
    </w:p>
    <w:p>
      <w:pPr>
        <w:shd w:val="clear" w:color="auto" w:fill="FFFFFF"/>
        <w:adjustRightInd w:val="0"/>
        <w:snapToGrid w:val="0"/>
        <w:spacing w:beforeLines="50" w:afterLines="50" w:line="360" w:lineRule="auto"/>
        <w:jc w:val="center"/>
        <w:rPr>
          <w:rFonts w:ascii="Calibri" w:hAnsi="Calibri"/>
          <w:szCs w:val="22"/>
        </w:rPr>
      </w:pPr>
      <w:r>
        <w:rPr>
          <w:rFonts w:ascii="黑体" w:hAnsi="黑体" w:eastAsia="黑体"/>
          <w:color w:val="000000" w:themeColor="text1"/>
          <w:sz w:val="28"/>
          <w:szCs w:val="28"/>
        </w:rPr>
        <w:t>图</w:t>
      </w:r>
      <w:r>
        <w:rPr>
          <w:rFonts w:hint="eastAsia" w:ascii="黑体" w:hAnsi="黑体" w:eastAsia="黑体"/>
          <w:color w:val="000000" w:themeColor="text1"/>
          <w:sz w:val="28"/>
          <w:szCs w:val="28"/>
        </w:rPr>
        <w:t>3-3  神仙桥产业园空间功能分区</w:t>
      </w:r>
      <w:r>
        <w:rPr>
          <w:rFonts w:ascii="Calibri" w:hAnsi="Calibri"/>
          <w:szCs w:val="22"/>
        </w:rPr>
        <w:br w:type="page"/>
      </w:r>
    </w:p>
    <w:p>
      <w:pPr>
        <w:pStyle w:val="2"/>
        <w:adjustRightInd w:val="0"/>
        <w:snapToGrid w:val="0"/>
        <w:spacing w:beforeLines="50" w:afterLines="50" w:line="360" w:lineRule="auto"/>
        <w:jc w:val="center"/>
        <w:rPr>
          <w:rFonts w:ascii="黑体" w:hAnsi="黑体" w:eastAsia="黑体"/>
          <w:bCs w:val="0"/>
          <w:color w:val="000000"/>
          <w:kern w:val="2"/>
        </w:rPr>
      </w:pPr>
      <w:bookmarkStart w:id="21" w:name="_Toc91676435"/>
      <w:r>
        <w:rPr>
          <w:rFonts w:hint="eastAsia" w:ascii="黑体" w:hAnsi="黑体" w:eastAsia="黑体"/>
          <w:bCs w:val="0"/>
          <w:color w:val="000000"/>
          <w:kern w:val="2"/>
        </w:rPr>
        <w:t xml:space="preserve">第四章 </w:t>
      </w:r>
      <w:r>
        <w:rPr>
          <w:rFonts w:ascii="黑体" w:hAnsi="黑体" w:eastAsia="黑体"/>
          <w:bCs w:val="0"/>
          <w:color w:val="000000"/>
          <w:kern w:val="2"/>
        </w:rPr>
        <w:t xml:space="preserve"> 产业发展重点</w:t>
      </w:r>
      <w:bookmarkEnd w:id="21"/>
      <w:r>
        <w:rPr>
          <w:rFonts w:hint="eastAsia" w:ascii="黑体" w:hAnsi="黑体" w:eastAsia="黑体"/>
          <w:bCs w:val="0"/>
          <w:color w:val="000000"/>
          <w:kern w:val="2"/>
        </w:rPr>
        <w:t xml:space="preserve"> </w:t>
      </w:r>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22" w:name="_Toc91676436"/>
      <w:r>
        <w:rPr>
          <w:rFonts w:hint="eastAsia" w:ascii="黑体" w:hAnsi="黑体" w:eastAsia="黑体" w:cs="Times New Roman"/>
          <w:bCs w:val="0"/>
          <w:color w:val="000000"/>
        </w:rPr>
        <w:t xml:space="preserve">第一节 </w:t>
      </w:r>
      <w:r>
        <w:rPr>
          <w:rFonts w:ascii="黑体" w:hAnsi="黑体" w:eastAsia="黑体" w:cs="Times New Roman"/>
          <w:bCs w:val="0"/>
          <w:color w:val="000000"/>
        </w:rPr>
        <w:t xml:space="preserve"> </w:t>
      </w:r>
      <w:r>
        <w:rPr>
          <w:rFonts w:hint="eastAsia" w:ascii="黑体" w:hAnsi="黑体" w:eastAsia="黑体" w:cs="Times New Roman"/>
          <w:bCs w:val="0"/>
          <w:color w:val="000000"/>
        </w:rPr>
        <w:t>做大做强绿色化工产业</w:t>
      </w:r>
      <w:bookmarkEnd w:id="22"/>
    </w:p>
    <w:p>
      <w:pPr>
        <w:adjustRightInd w:val="0"/>
        <w:snapToGrid w:val="0"/>
        <w:spacing w:line="360" w:lineRule="auto"/>
        <w:rPr>
          <w:rFonts w:ascii="黑体" w:hAnsi="黑体" w:eastAsia="黑体"/>
          <w:sz w:val="32"/>
          <w:szCs w:val="32"/>
        </w:rPr>
      </w:pPr>
      <w:r>
        <w:rPr>
          <w:rFonts w:hint="eastAsia" w:ascii="黑体" w:hAnsi="黑体" w:eastAsia="黑体"/>
          <w:sz w:val="32"/>
          <w:szCs w:val="32"/>
        </w:rPr>
        <w:t>一、发展基础</w:t>
      </w:r>
    </w:p>
    <w:p>
      <w:pPr>
        <w:shd w:val="clear" w:color="auto" w:fill="FFFFFF"/>
        <w:adjustRightInd w:val="0"/>
        <w:snapToGrid w:val="0"/>
        <w:spacing w:line="360" w:lineRule="auto"/>
        <w:ind w:firstLine="602" w:firstLineChars="200"/>
        <w:rPr>
          <w:rFonts w:ascii="仿宋" w:hAnsi="仿宋" w:eastAsia="仿宋"/>
          <w:bCs/>
          <w:color w:val="000000"/>
          <w:sz w:val="30"/>
          <w:szCs w:val="30"/>
        </w:rPr>
      </w:pPr>
      <w:r>
        <w:rPr>
          <w:rFonts w:ascii="仿宋" w:hAnsi="仿宋" w:eastAsia="仿宋"/>
          <w:b/>
          <w:bCs/>
          <w:color w:val="000000"/>
          <w:sz w:val="30"/>
          <w:szCs w:val="30"/>
        </w:rPr>
        <w:t>较好的产业发展基础</w:t>
      </w:r>
      <w:r>
        <w:rPr>
          <w:rFonts w:hint="eastAsia" w:ascii="仿宋" w:hAnsi="仿宋" w:eastAsia="仿宋"/>
          <w:b/>
          <w:bCs/>
          <w:color w:val="000000"/>
          <w:sz w:val="30"/>
          <w:szCs w:val="30"/>
        </w:rPr>
        <w:t>。</w:t>
      </w:r>
      <w:r>
        <w:rPr>
          <w:rFonts w:ascii="仿宋" w:hAnsi="仿宋" w:eastAsia="仿宋"/>
          <w:bCs/>
          <w:color w:val="000000"/>
          <w:sz w:val="30"/>
          <w:szCs w:val="30"/>
        </w:rPr>
        <w:t>从园区看，开发区化工产业规上工业企业有11家，占整个开发区企业数量比重为15.1%；化工产业产值为27.7亿元，占整个开发区规上企业总产值比重为16.7%。园区具有较好的化工产业基础。同时，泸州作为中国天然气化工的发源地，拥有丰富的化工资源和世界第一大硝化棉、亚洲第一大尿素等生产基地。已经建成拥有自主创新知识产权的大甲醇、二甲醚、三聚氢氨、四氯化碳、烧碱、有机硅、纤维素系列等六位一体的完整化工体系；其中合成氨、尿素、纤维素衍生物等多项产品在国际、国内居主导地位。</w:t>
      </w:r>
    </w:p>
    <w:p>
      <w:pPr>
        <w:shd w:val="clear" w:color="auto" w:fill="FFFFFF"/>
        <w:adjustRightInd w:val="0"/>
        <w:snapToGrid w:val="0"/>
        <w:spacing w:line="360" w:lineRule="auto"/>
        <w:ind w:firstLine="602" w:firstLineChars="200"/>
        <w:rPr>
          <w:rFonts w:ascii="仿宋" w:hAnsi="仿宋" w:eastAsia="仿宋"/>
          <w:bCs/>
          <w:color w:val="000000"/>
          <w:sz w:val="30"/>
          <w:szCs w:val="30"/>
        </w:rPr>
      </w:pPr>
      <w:r>
        <w:rPr>
          <w:rFonts w:ascii="仿宋" w:hAnsi="仿宋" w:eastAsia="仿宋"/>
          <w:b/>
          <w:bCs/>
          <w:color w:val="000000"/>
          <w:sz w:val="30"/>
          <w:szCs w:val="30"/>
        </w:rPr>
        <w:t>省市高度重视绿色化工产业发展</w:t>
      </w:r>
      <w:r>
        <w:rPr>
          <w:rFonts w:hint="eastAsia" w:ascii="仿宋" w:hAnsi="仿宋" w:eastAsia="仿宋"/>
          <w:b/>
          <w:bCs/>
          <w:color w:val="000000"/>
          <w:sz w:val="30"/>
          <w:szCs w:val="30"/>
        </w:rPr>
        <w:t>。</w:t>
      </w:r>
      <w:r>
        <w:rPr>
          <w:rFonts w:ascii="仿宋" w:hAnsi="仿宋" w:eastAsia="仿宋"/>
          <w:bCs/>
          <w:color w:val="000000"/>
          <w:sz w:val="30"/>
          <w:szCs w:val="30"/>
        </w:rPr>
        <w:t>在四川省“5+1”现代工业体系中，能源化工产业是五大支柱产业之一；推动天然气资源就地转化是四川省能源化工产业重点领域突破发展的方向之一。2019年四川省领导联系指导绿色化工产业机制办公室正式印发的《绿色化工产业培育方案》中明确提出加快化工新材料、精细化工发展，到2022年，全省绿色化工产业实现主营业务收入5000亿元，年均增长7%左右，把四川建设成为绿色化工产业强省；其中泸州市属于重点打造的8个千亿级绿色化工产业基地之一，天然气精深加工也是重点打造的6个千亿级产业链之一。泸州市也一直将绿色化工产业作为支柱产业打造，并出台了系列相关政策以支持化工产业转型发展。</w:t>
      </w:r>
    </w:p>
    <w:p>
      <w:pPr>
        <w:shd w:val="clear" w:color="auto" w:fill="FFFFFF"/>
        <w:adjustRightInd w:val="0"/>
        <w:snapToGrid w:val="0"/>
        <w:spacing w:line="360" w:lineRule="auto"/>
        <w:ind w:firstLine="602" w:firstLineChars="200"/>
        <w:rPr>
          <w:rFonts w:ascii="仿宋" w:hAnsi="仿宋" w:eastAsia="仿宋"/>
          <w:bCs/>
          <w:color w:val="000000"/>
          <w:sz w:val="30"/>
          <w:szCs w:val="30"/>
        </w:rPr>
      </w:pPr>
      <w:r>
        <w:rPr>
          <w:rFonts w:ascii="仿宋" w:hAnsi="仿宋" w:eastAsia="仿宋"/>
          <w:b/>
          <w:bCs/>
          <w:color w:val="000000"/>
          <w:sz w:val="30"/>
          <w:szCs w:val="30"/>
        </w:rPr>
        <w:t>丰富的资源条件</w:t>
      </w:r>
      <w:r>
        <w:rPr>
          <w:rFonts w:hint="eastAsia" w:ascii="仿宋" w:hAnsi="仿宋" w:eastAsia="仿宋"/>
          <w:b/>
          <w:bCs/>
          <w:color w:val="000000"/>
          <w:sz w:val="30"/>
          <w:szCs w:val="30"/>
        </w:rPr>
        <w:t>。</w:t>
      </w:r>
      <w:r>
        <w:rPr>
          <w:rFonts w:ascii="仿宋" w:hAnsi="仿宋" w:eastAsia="仿宋"/>
          <w:bCs/>
          <w:color w:val="000000"/>
          <w:sz w:val="30"/>
          <w:szCs w:val="30"/>
        </w:rPr>
        <w:t>泸县的页岩气资源非常丰富，探明储量约1.42万亿立方米；页岩厚度55-75米，为四川地区最厚；有机碳含量大于3%，为四川地区最大；含气量4.7-7方/吨，为四川地区最高。目前中石油西南油气田分公司蜀南气矿和四川页岩气勘探开发有限责任公司已在泸县境内开采页岩气。根据相关规划，预计到2025年，页岩气总投资将达到500亿元，新建平台118座，新钻井540口，实现年产能100亿方/年，产值150亿元/年；到2030年，总投资1200亿元，累计建设井1400口，累计投产井1100口，实现产能180亿方/年，产值270亿元/年；到2035年，建成产能200亿方/年，项目生命周期内总投资3000亿元，其中50%投资在泸县。</w:t>
      </w:r>
    </w:p>
    <w:p>
      <w:pPr>
        <w:shd w:val="clear" w:color="auto" w:fill="FFFFFF"/>
        <w:adjustRightInd w:val="0"/>
        <w:snapToGrid w:val="0"/>
        <w:spacing w:line="360" w:lineRule="auto"/>
        <w:ind w:firstLine="602" w:firstLineChars="200"/>
        <w:rPr>
          <w:rFonts w:ascii="仿宋" w:hAnsi="仿宋" w:eastAsia="仿宋"/>
          <w:bCs/>
          <w:color w:val="000000"/>
          <w:sz w:val="30"/>
          <w:szCs w:val="30"/>
        </w:rPr>
      </w:pPr>
      <w:r>
        <w:rPr>
          <w:rFonts w:ascii="仿宋" w:hAnsi="仿宋" w:eastAsia="仿宋"/>
          <w:b/>
          <w:bCs/>
          <w:color w:val="000000"/>
          <w:sz w:val="30"/>
          <w:szCs w:val="30"/>
        </w:rPr>
        <w:t>良好的配套环境</w:t>
      </w:r>
      <w:r>
        <w:rPr>
          <w:rFonts w:hint="eastAsia" w:ascii="仿宋" w:hAnsi="仿宋" w:eastAsia="仿宋"/>
          <w:b/>
          <w:bCs/>
          <w:color w:val="000000"/>
          <w:sz w:val="30"/>
          <w:szCs w:val="30"/>
        </w:rPr>
        <w:t>。</w:t>
      </w:r>
      <w:r>
        <w:rPr>
          <w:rFonts w:ascii="仿宋" w:hAnsi="仿宋" w:eastAsia="仿宋"/>
          <w:bCs/>
          <w:color w:val="000000"/>
          <w:sz w:val="30"/>
          <w:szCs w:val="30"/>
        </w:rPr>
        <w:t>按照《四川省加强长江经济带沿江化工产业污染防治实施方案》《四川省长江经济带发展负面清单实施细则（试行）》等政策的规定：“禁止在长江干流和主要支流1公里范围内新建、扩建化工园区和化工项目”的要求，泸州市沿长江干线及主要支流岸线1公里范围内的25户化工企业</w:t>
      </w:r>
      <w:r>
        <w:rPr>
          <w:rFonts w:hint="eastAsia" w:ascii="仿宋" w:hAnsi="仿宋" w:eastAsia="仿宋"/>
          <w:bCs/>
          <w:color w:val="000000"/>
          <w:sz w:val="30"/>
          <w:szCs w:val="30"/>
        </w:rPr>
        <w:t>如</w:t>
      </w:r>
      <w:r>
        <w:rPr>
          <w:rFonts w:ascii="仿宋" w:hAnsi="仿宋" w:eastAsia="仿宋"/>
          <w:bCs/>
          <w:color w:val="000000"/>
          <w:sz w:val="30"/>
          <w:szCs w:val="30"/>
        </w:rPr>
        <w:t>鑫福化工等急需搬迁进入合规园区。泸县经济开发区神仙桥产业园作为获得四川省生态环境厅环评批文的有化工产业的园区，有化工产业发展基础，具备承接化工产业转移、退城入园的基本条件。园区具有方便、畅通和经济的交通运输条件，并具有充足、可靠、符合生产和生活要求的水源和电源，能满足化工企业发展需求。</w:t>
      </w:r>
    </w:p>
    <w:p>
      <w:pPr>
        <w:shd w:val="clear" w:color="auto" w:fill="FFFFFF"/>
        <w:adjustRightInd w:val="0"/>
        <w:snapToGrid w:val="0"/>
        <w:spacing w:line="360" w:lineRule="auto"/>
        <w:ind w:firstLine="600" w:firstLineChars="200"/>
        <w:rPr>
          <w:rFonts w:ascii="仿宋" w:hAnsi="仿宋" w:eastAsia="仿宋"/>
          <w:bCs/>
          <w:color w:val="000000"/>
          <w:sz w:val="30"/>
          <w:szCs w:val="30"/>
        </w:rPr>
      </w:pPr>
    </w:p>
    <w:p>
      <w:pPr>
        <w:adjustRightInd w:val="0"/>
        <w:snapToGrid w:val="0"/>
        <w:spacing w:line="360" w:lineRule="auto"/>
        <w:rPr>
          <w:rFonts w:ascii="黑体" w:hAnsi="黑体" w:eastAsia="黑体"/>
          <w:sz w:val="32"/>
          <w:szCs w:val="32"/>
        </w:rPr>
      </w:pPr>
      <w:r>
        <w:rPr>
          <w:rFonts w:hint="eastAsia" w:ascii="黑体" w:hAnsi="黑体" w:eastAsia="黑体"/>
          <w:sz w:val="32"/>
          <w:szCs w:val="32"/>
        </w:rPr>
        <w:t>二、发展思路</w:t>
      </w:r>
    </w:p>
    <w:p>
      <w:pPr>
        <w:shd w:val="clear" w:color="auto" w:fill="FFFFFF"/>
        <w:adjustRightInd w:val="0"/>
        <w:snapToGrid w:val="0"/>
        <w:spacing w:line="360" w:lineRule="auto"/>
        <w:ind w:firstLine="600" w:firstLineChars="200"/>
        <w:rPr>
          <w:rFonts w:ascii="仿宋" w:hAnsi="仿宋" w:eastAsia="仿宋"/>
          <w:bCs/>
          <w:color w:val="000000"/>
          <w:sz w:val="30"/>
          <w:szCs w:val="30"/>
        </w:rPr>
      </w:pPr>
      <w:r>
        <w:rPr>
          <w:rFonts w:hint="eastAsia" w:ascii="仿宋" w:hAnsi="仿宋" w:eastAsia="仿宋"/>
          <w:bCs/>
          <w:color w:val="000000"/>
          <w:sz w:val="30"/>
          <w:szCs w:val="30"/>
        </w:rPr>
        <w:t>坚持和落实新发展理念，瞄准内循环为主、双循环发展新格局，按照“核心企业-产品链-产业群-产业基地”的发展模式，以泸州市搬迁入园企业为契机，充分挖掘泸州盛产页岩气及多位一体的交通物流优势，重点发展页岩气综合利用、医药产业（医药中间体和原料药）、精细化工等化工产业，积极推动产业链上下游融合成链成群发展，着力将园区要素优势、交通优势通过企业聚合转化成为园区的竞争优势。</w:t>
      </w:r>
    </w:p>
    <w:p>
      <w:pPr>
        <w:adjustRightInd w:val="0"/>
        <w:snapToGrid w:val="0"/>
        <w:spacing w:line="360" w:lineRule="auto"/>
        <w:rPr>
          <w:rFonts w:ascii="黑体" w:hAnsi="黑体" w:eastAsia="黑体"/>
          <w:sz w:val="32"/>
          <w:szCs w:val="32"/>
        </w:rPr>
      </w:pPr>
      <w:r>
        <w:rPr>
          <w:rFonts w:hint="eastAsia" w:ascii="黑体" w:hAnsi="黑体" w:eastAsia="黑体"/>
          <w:sz w:val="32"/>
          <w:szCs w:val="32"/>
        </w:rPr>
        <w:t>三、发展目标</w:t>
      </w:r>
    </w:p>
    <w:p>
      <w:pPr>
        <w:shd w:val="clear" w:color="auto" w:fill="FFFFFF"/>
        <w:adjustRightInd w:val="0"/>
        <w:snapToGrid w:val="0"/>
        <w:spacing w:line="360" w:lineRule="auto"/>
        <w:ind w:firstLine="600" w:firstLineChars="200"/>
        <w:rPr>
          <w:rFonts w:ascii="仿宋" w:hAnsi="仿宋" w:eastAsia="仿宋"/>
          <w:bCs/>
          <w:color w:val="000000"/>
          <w:sz w:val="30"/>
          <w:szCs w:val="30"/>
        </w:rPr>
      </w:pPr>
      <w:r>
        <w:rPr>
          <w:rFonts w:hint="eastAsia" w:ascii="仿宋" w:hAnsi="仿宋" w:eastAsia="仿宋"/>
          <w:bCs/>
          <w:color w:val="000000"/>
          <w:sz w:val="30"/>
          <w:szCs w:val="30"/>
        </w:rPr>
        <w:t>到</w:t>
      </w:r>
      <w:r>
        <w:rPr>
          <w:rFonts w:ascii="仿宋" w:hAnsi="仿宋" w:eastAsia="仿宋"/>
          <w:bCs/>
          <w:color w:val="000000"/>
          <w:sz w:val="30"/>
          <w:szCs w:val="30"/>
        </w:rPr>
        <w:t>2025年，建成一个基地：泸州化工产业基地；一个平台：泸州市精细化工技术应用开发平台。力争到2025年，园区化工产业规模以上工业企业主营业务收入突破</w:t>
      </w:r>
      <w:r>
        <w:rPr>
          <w:rFonts w:hint="eastAsia" w:ascii="仿宋" w:hAnsi="仿宋" w:eastAsia="仿宋"/>
          <w:bCs/>
          <w:color w:val="000000"/>
          <w:sz w:val="30"/>
          <w:szCs w:val="30"/>
        </w:rPr>
        <w:t>5</w:t>
      </w:r>
      <w:r>
        <w:rPr>
          <w:rFonts w:ascii="仿宋" w:hAnsi="仿宋" w:eastAsia="仿宋"/>
          <w:bCs/>
          <w:color w:val="000000"/>
          <w:sz w:val="30"/>
          <w:szCs w:val="30"/>
        </w:rPr>
        <w:t>00亿元</w:t>
      </w:r>
      <w:r>
        <w:rPr>
          <w:rFonts w:hint="eastAsia" w:ascii="仿宋" w:hAnsi="仿宋" w:eastAsia="仿宋"/>
          <w:bCs/>
          <w:color w:val="000000"/>
          <w:sz w:val="30"/>
          <w:szCs w:val="30"/>
        </w:rPr>
        <w:t>，将园区发展成为成渝双城经济圈重要化工产业基地。</w:t>
      </w:r>
    </w:p>
    <w:p>
      <w:pPr>
        <w:adjustRightInd w:val="0"/>
        <w:snapToGrid w:val="0"/>
        <w:spacing w:line="360" w:lineRule="auto"/>
        <w:rPr>
          <w:rFonts w:ascii="黑体" w:hAnsi="黑体" w:eastAsia="黑体"/>
          <w:sz w:val="32"/>
          <w:szCs w:val="32"/>
        </w:rPr>
      </w:pPr>
      <w:r>
        <w:rPr>
          <w:rFonts w:hint="eastAsia" w:ascii="黑体" w:hAnsi="黑体" w:eastAsia="黑体"/>
          <w:sz w:val="32"/>
          <w:szCs w:val="32"/>
        </w:rPr>
        <w:t xml:space="preserve">四、发展重点 </w:t>
      </w:r>
    </w:p>
    <w:p>
      <w:pPr>
        <w:adjustRightInd w:val="0"/>
        <w:snapToGrid w:val="0"/>
        <w:spacing w:line="360" w:lineRule="auto"/>
        <w:ind w:firstLine="600" w:firstLineChars="200"/>
        <w:rPr>
          <w:rFonts w:ascii="仿宋_GB2312" w:eastAsia="仿宋_GB2312"/>
          <w:sz w:val="32"/>
          <w:szCs w:val="32"/>
        </w:rPr>
      </w:pPr>
      <w:r>
        <w:rPr>
          <w:rFonts w:hint="eastAsia" w:ascii="黑体" w:hAnsi="黑体" w:eastAsia="黑体"/>
          <w:sz w:val="30"/>
          <w:szCs w:val="30"/>
        </w:rPr>
        <w:t>1、着力打造三大产业链</w:t>
      </w:r>
    </w:p>
    <w:p>
      <w:pPr>
        <w:adjustRightInd w:val="0"/>
        <w:snapToGrid w:val="0"/>
        <w:spacing w:line="360" w:lineRule="auto"/>
        <w:ind w:firstLine="600" w:firstLineChars="200"/>
        <w:rPr>
          <w:rFonts w:ascii="仿宋" w:hAnsi="仿宋" w:eastAsia="仿宋"/>
          <w:bCs/>
          <w:color w:val="000000"/>
          <w:sz w:val="30"/>
          <w:szCs w:val="30"/>
        </w:rPr>
      </w:pPr>
      <w:r>
        <w:rPr>
          <w:rFonts w:hint="eastAsia" w:ascii="仿宋" w:hAnsi="仿宋" w:eastAsia="仿宋"/>
          <w:bCs/>
          <w:color w:val="000000"/>
          <w:sz w:val="30"/>
          <w:szCs w:val="30"/>
        </w:rPr>
        <w:t xml:space="preserve">（1）页岩气综合利用 </w:t>
      </w:r>
    </w:p>
    <w:p>
      <w:pPr>
        <w:adjustRightInd w:val="0"/>
        <w:snapToGrid w:val="0"/>
        <w:spacing w:line="360" w:lineRule="auto"/>
        <w:ind w:firstLine="600" w:firstLineChars="200"/>
        <w:rPr>
          <w:rFonts w:ascii="仿宋" w:hAnsi="仿宋" w:eastAsia="仿宋"/>
          <w:bCs/>
          <w:color w:val="000000"/>
          <w:sz w:val="30"/>
          <w:szCs w:val="30"/>
        </w:rPr>
      </w:pPr>
      <w:r>
        <w:rPr>
          <w:rFonts w:hint="eastAsia" w:ascii="仿宋" w:hAnsi="仿宋" w:eastAsia="仿宋"/>
          <w:bCs/>
          <w:color w:val="000000"/>
          <w:sz w:val="30"/>
          <w:szCs w:val="30"/>
        </w:rPr>
        <w:t>“十四五”期间，泸县应抢抓当前四川省打造千亿级天然气（页岩气）综合开发利用产业基地的契机和四川省低碳优势产业发展契机，根据页岩气增产计划、技术成熟度和区域市场需求实际，率先在页岩气综合利用方面，重点在页岩气</w:t>
      </w:r>
      <w:r>
        <w:rPr>
          <w:rFonts w:ascii="仿宋" w:hAnsi="仿宋" w:eastAsia="仿宋"/>
          <w:bCs/>
          <w:color w:val="000000"/>
          <w:sz w:val="30"/>
          <w:szCs w:val="30"/>
        </w:rPr>
        <w:t>制氢</w:t>
      </w:r>
      <w:r>
        <w:rPr>
          <w:rFonts w:hint="eastAsia" w:ascii="仿宋" w:hAnsi="仿宋" w:eastAsia="仿宋"/>
          <w:bCs/>
          <w:color w:val="000000"/>
          <w:sz w:val="30"/>
          <w:szCs w:val="30"/>
        </w:rPr>
        <w:t>、乙炔下游精细化学品及化工新材料项目、尼龙全产业链等项目的落地方面实现突破。</w:t>
      </w:r>
    </w:p>
    <w:p>
      <w:pPr>
        <w:adjustRightInd w:val="0"/>
        <w:snapToGrid w:val="0"/>
        <w:spacing w:line="360" w:lineRule="auto"/>
        <w:ind w:firstLine="600" w:firstLineChars="200"/>
        <w:rPr>
          <w:rFonts w:ascii="仿宋" w:hAnsi="仿宋" w:eastAsia="仿宋"/>
          <w:bCs/>
          <w:color w:val="000000"/>
          <w:sz w:val="30"/>
          <w:szCs w:val="30"/>
        </w:rPr>
      </w:pPr>
      <w:r>
        <w:rPr>
          <w:rFonts w:hint="eastAsia" w:ascii="仿宋" w:hAnsi="仿宋" w:eastAsia="仿宋"/>
          <w:bCs/>
          <w:color w:val="000000"/>
          <w:sz w:val="30"/>
          <w:szCs w:val="30"/>
        </w:rPr>
        <w:t>一是</w:t>
      </w:r>
      <w:r>
        <w:rPr>
          <w:rFonts w:ascii="仿宋" w:hAnsi="仿宋" w:eastAsia="仿宋"/>
          <w:bCs/>
          <w:color w:val="000000"/>
          <w:sz w:val="30"/>
          <w:szCs w:val="30"/>
        </w:rPr>
        <w:t>依托</w:t>
      </w:r>
      <w:r>
        <w:rPr>
          <w:rFonts w:hint="eastAsia" w:ascii="仿宋" w:hAnsi="仿宋" w:eastAsia="仿宋"/>
          <w:bCs/>
          <w:color w:val="000000"/>
          <w:sz w:val="30"/>
          <w:szCs w:val="30"/>
        </w:rPr>
        <w:t>页岩气</w:t>
      </w:r>
      <w:r>
        <w:rPr>
          <w:rFonts w:ascii="仿宋" w:hAnsi="仿宋" w:eastAsia="仿宋"/>
          <w:bCs/>
          <w:color w:val="000000"/>
          <w:sz w:val="30"/>
          <w:szCs w:val="30"/>
        </w:rPr>
        <w:t>制氢</w:t>
      </w:r>
      <w:r>
        <w:rPr>
          <w:rFonts w:hint="eastAsia" w:ascii="仿宋" w:hAnsi="仿宋" w:eastAsia="仿宋"/>
          <w:bCs/>
          <w:color w:val="000000"/>
          <w:sz w:val="30"/>
          <w:szCs w:val="30"/>
        </w:rPr>
        <w:t>，</w:t>
      </w:r>
      <w:r>
        <w:rPr>
          <w:rFonts w:ascii="仿宋" w:hAnsi="仿宋" w:eastAsia="仿宋"/>
          <w:bCs/>
          <w:color w:val="000000"/>
          <w:sz w:val="30"/>
          <w:szCs w:val="30"/>
        </w:rPr>
        <w:t>联合氯碱工业副产氢</w:t>
      </w:r>
      <w:r>
        <w:rPr>
          <w:rFonts w:hint="eastAsia" w:ascii="仿宋" w:hAnsi="仿宋" w:eastAsia="仿宋"/>
          <w:bCs/>
          <w:color w:val="000000"/>
          <w:sz w:val="30"/>
          <w:szCs w:val="30"/>
        </w:rPr>
        <w:t>，用于化工生产的加氢单元。同时规划建设过氧化氢项目，并延伸发展过碳酸钠、水合肼、发泡剂等精细化工品。</w:t>
      </w:r>
    </w:p>
    <w:p>
      <w:pPr>
        <w:adjustRightInd w:val="0"/>
        <w:snapToGrid w:val="0"/>
        <w:spacing w:line="360" w:lineRule="auto"/>
        <w:ind w:firstLine="560"/>
        <w:rPr>
          <w:rFonts w:ascii="仿宋" w:hAnsi="仿宋" w:eastAsia="仿宋"/>
          <w:bCs/>
          <w:color w:val="000000"/>
          <w:sz w:val="30"/>
          <w:szCs w:val="30"/>
        </w:rPr>
      </w:pPr>
      <w:bookmarkStart w:id="23" w:name="_Toc17885"/>
      <w:bookmarkStart w:id="24" w:name="_Toc59010360"/>
      <w:r>
        <w:rPr>
          <w:rFonts w:hint="eastAsia" w:ascii="仿宋" w:hAnsi="仿宋" w:eastAsia="仿宋"/>
          <w:bCs/>
          <w:color w:val="000000"/>
          <w:sz w:val="30"/>
          <w:szCs w:val="30"/>
        </w:rPr>
        <w:t>二是布局乙炔，构建精细化学品、高端新材料产业集群</w:t>
      </w:r>
      <w:bookmarkEnd w:id="23"/>
      <w:bookmarkEnd w:id="24"/>
      <w:r>
        <w:rPr>
          <w:rFonts w:hint="eastAsia" w:ascii="仿宋" w:hAnsi="仿宋" w:eastAsia="仿宋"/>
          <w:bCs/>
          <w:color w:val="000000"/>
          <w:sz w:val="30"/>
          <w:szCs w:val="30"/>
        </w:rPr>
        <w:t>。天然气法乙炔污染较少，有利于加强生态环境保护和建设。规划以页岩气部分氧化制乙炔为基础，通过强链、补链、延链，打造乙炔系列精细化学品、高端新材料产业集群。</w:t>
      </w:r>
    </w:p>
    <w:p>
      <w:pPr>
        <w:adjustRightInd w:val="0"/>
        <w:snapToGrid w:val="0"/>
        <w:spacing w:line="360" w:lineRule="auto"/>
        <w:ind w:firstLine="560"/>
        <w:rPr>
          <w:rFonts w:ascii="仿宋" w:hAnsi="仿宋" w:eastAsia="仿宋"/>
          <w:bCs/>
          <w:color w:val="000000"/>
          <w:sz w:val="30"/>
          <w:szCs w:val="30"/>
        </w:rPr>
      </w:pPr>
      <w:bookmarkStart w:id="25" w:name="_Toc59010361"/>
      <w:bookmarkStart w:id="26" w:name="_Toc6572"/>
      <w:r>
        <w:rPr>
          <w:rFonts w:hint="eastAsia" w:ascii="仿宋" w:hAnsi="仿宋" w:eastAsia="仿宋"/>
          <w:bCs/>
          <w:color w:val="000000"/>
          <w:sz w:val="30"/>
          <w:szCs w:val="30"/>
        </w:rPr>
        <w:t>三是依托合成氨基础，布局尼龙材料</w:t>
      </w:r>
      <w:bookmarkEnd w:id="25"/>
      <w:bookmarkEnd w:id="26"/>
      <w:r>
        <w:rPr>
          <w:rFonts w:hint="eastAsia" w:ascii="仿宋" w:hAnsi="仿宋" w:eastAsia="仿宋"/>
          <w:bCs/>
          <w:color w:val="000000"/>
          <w:sz w:val="30"/>
          <w:szCs w:val="30"/>
        </w:rPr>
        <w:t>。重点是尼龙6</w:t>
      </w:r>
      <w:r>
        <w:rPr>
          <w:rFonts w:ascii="仿宋" w:hAnsi="仿宋" w:eastAsia="仿宋"/>
          <w:bCs/>
          <w:color w:val="000000"/>
          <w:sz w:val="30"/>
          <w:szCs w:val="30"/>
        </w:rPr>
        <w:t>6</w:t>
      </w:r>
      <w:r>
        <w:rPr>
          <w:rFonts w:hint="eastAsia" w:ascii="仿宋" w:hAnsi="仿宋" w:eastAsia="仿宋"/>
          <w:bCs/>
          <w:color w:val="000000"/>
          <w:sz w:val="30"/>
          <w:szCs w:val="30"/>
        </w:rPr>
        <w:t>切片全产业链、聚丙烯酰胺PAM等。尼龙66纤维（锦纶）和尼龙工程塑料产可用于恒力（泸州）产业园生产专用纺织品，尼龙工程塑料可经过改性处理用于汽车零配件、机械零件制造；聚丙烯酰胺P</w:t>
      </w:r>
      <w:r>
        <w:rPr>
          <w:rFonts w:ascii="仿宋" w:hAnsi="仿宋" w:eastAsia="仿宋"/>
          <w:bCs/>
          <w:color w:val="000000"/>
          <w:sz w:val="30"/>
          <w:szCs w:val="30"/>
        </w:rPr>
        <w:t>AM</w:t>
      </w:r>
      <w:r>
        <w:rPr>
          <w:rFonts w:hint="eastAsia" w:ascii="仿宋" w:hAnsi="仿宋" w:eastAsia="仿宋"/>
          <w:bCs/>
          <w:color w:val="000000"/>
          <w:sz w:val="30"/>
          <w:szCs w:val="30"/>
        </w:rPr>
        <w:t>是一类重要的水溶性高分子聚合物，具备增稠、分散、粘附、絮凝、凝胶、流变控制、高吸水性、增强、成膜等应用性能。因此，聚丙烯酰胺被称作“百业助剂”，可广泛应用于制浆造纸、水处理、油气开采、矿物洗选、纺织、日化、医药、农业等各行各业。</w:t>
      </w:r>
    </w:p>
    <w:p>
      <w:pPr>
        <w:adjustRightInd w:val="0"/>
        <w:snapToGrid w:val="0"/>
        <w:spacing w:line="360" w:lineRule="auto"/>
        <w:ind w:firstLine="560"/>
        <w:rPr>
          <w:rFonts w:ascii="仿宋" w:hAnsi="仿宋" w:eastAsia="仿宋"/>
          <w:bCs/>
          <w:color w:val="000000"/>
          <w:sz w:val="30"/>
          <w:szCs w:val="30"/>
        </w:rPr>
      </w:pPr>
      <w:bookmarkStart w:id="27" w:name="_Toc59010362"/>
      <w:bookmarkStart w:id="28" w:name="_Toc20183"/>
      <w:r>
        <w:rPr>
          <w:rFonts w:hint="eastAsia" w:ascii="仿宋" w:hAnsi="仿宋" w:eastAsia="仿宋"/>
          <w:bCs/>
          <w:color w:val="000000"/>
          <w:sz w:val="30"/>
          <w:szCs w:val="30"/>
        </w:rPr>
        <w:t>四是借助产业转移，拓展氯碱产业</w:t>
      </w:r>
      <w:bookmarkEnd w:id="27"/>
      <w:bookmarkEnd w:id="28"/>
      <w:r>
        <w:rPr>
          <w:rFonts w:hint="eastAsia" w:ascii="仿宋" w:hAnsi="仿宋" w:eastAsia="仿宋"/>
          <w:bCs/>
          <w:color w:val="000000"/>
          <w:sz w:val="30"/>
          <w:szCs w:val="30"/>
        </w:rPr>
        <w:t>。借助东部产业转移及化工企业搬迁入园契机，吸纳优质氯碱企业，依托页岩气乙炔项目延伸发展聚偏二氯乙烯（P</w:t>
      </w:r>
      <w:r>
        <w:rPr>
          <w:rFonts w:ascii="仿宋" w:hAnsi="仿宋" w:eastAsia="仿宋"/>
          <w:bCs/>
          <w:color w:val="000000"/>
          <w:sz w:val="30"/>
          <w:szCs w:val="30"/>
        </w:rPr>
        <w:t>VDC</w:t>
      </w:r>
      <w:r>
        <w:rPr>
          <w:rFonts w:hint="eastAsia" w:ascii="仿宋" w:hAnsi="仿宋" w:eastAsia="仿宋"/>
          <w:bCs/>
          <w:color w:val="000000"/>
          <w:sz w:val="30"/>
          <w:szCs w:val="30"/>
        </w:rPr>
        <w:t>）、氯醚树脂项目。泸州市现有氯碱产业下游产品为烧碱、盐酸、甲烷氯化物和四氯乙烯。国务院办公厅印发的《关于石化产业调结构促转型增效益的指导意见》指出，要严格控制尿素、磷铵、电石、烧碱、聚氯乙烯、纯碱、黄磷等过剩行业新增产能。园区可借助东部产业转移及化工企业搬迁入园契机，吸纳优质氯碱企业，利用本地页岩气乙炔资源发展聚偏二氯乙烯（P</w:t>
      </w:r>
      <w:r>
        <w:rPr>
          <w:rFonts w:ascii="仿宋" w:hAnsi="仿宋" w:eastAsia="仿宋"/>
          <w:bCs/>
          <w:color w:val="000000"/>
          <w:sz w:val="30"/>
          <w:szCs w:val="30"/>
        </w:rPr>
        <w:t>VDC</w:t>
      </w:r>
      <w:r>
        <w:rPr>
          <w:rFonts w:hint="eastAsia" w:ascii="仿宋" w:hAnsi="仿宋" w:eastAsia="仿宋"/>
          <w:bCs/>
          <w:color w:val="000000"/>
          <w:sz w:val="30"/>
          <w:szCs w:val="30"/>
        </w:rPr>
        <w:t>）、氯醚树脂项目</w:t>
      </w:r>
    </w:p>
    <w:p>
      <w:pPr>
        <w:adjustRightInd w:val="0"/>
        <w:snapToGrid w:val="0"/>
        <w:spacing w:line="360" w:lineRule="auto"/>
        <w:ind w:firstLine="600" w:firstLineChars="200"/>
        <w:rPr>
          <w:rFonts w:ascii="仿宋" w:hAnsi="仿宋" w:eastAsia="仿宋"/>
          <w:bCs/>
          <w:color w:val="000000"/>
          <w:sz w:val="30"/>
          <w:szCs w:val="30"/>
        </w:rPr>
      </w:pPr>
      <w:r>
        <w:rPr>
          <w:rFonts w:hint="eastAsia" w:ascii="仿宋" w:hAnsi="仿宋" w:eastAsia="仿宋"/>
          <w:bCs/>
          <w:color w:val="000000"/>
          <w:sz w:val="30"/>
          <w:szCs w:val="30"/>
        </w:rPr>
        <w:t>（2）医药产业（医药中间体、原料药）</w:t>
      </w:r>
    </w:p>
    <w:p>
      <w:pPr>
        <w:adjustRightInd w:val="0"/>
        <w:snapToGrid w:val="0"/>
        <w:spacing w:line="360" w:lineRule="auto"/>
        <w:ind w:firstLine="600" w:firstLineChars="200"/>
        <w:rPr>
          <w:rFonts w:ascii="仿宋" w:hAnsi="仿宋" w:eastAsia="仿宋"/>
          <w:bCs/>
          <w:color w:val="000000"/>
          <w:sz w:val="30"/>
          <w:szCs w:val="30"/>
        </w:rPr>
      </w:pPr>
      <w:r>
        <w:rPr>
          <w:rFonts w:hint="eastAsia" w:ascii="仿宋" w:hAnsi="仿宋" w:eastAsia="仿宋"/>
          <w:bCs/>
          <w:color w:val="000000"/>
          <w:sz w:val="30"/>
          <w:szCs w:val="30"/>
        </w:rPr>
        <w:t>一是大力发展产医药中间体。侧重于引入研发2,4-二氯-5-氟苯乙酮为制备环丙沙星、N-甲基哌嗪、N,N,N-三甲基-1-金刚烷基氢氧化铵、盐酸金刚烷胺等医药中间体，发展与医药中间体相配套的化工产品。二是发展原料药。主要发展盐酸金刚烷胺、金刚烷、唾液、酸降冰片二烯、左磷石胺盐、奥利司他、奥美拉唑、枸橼酸坦度螺酮、丙戊酸钠、盐酸替扎尼定片等原料药，实现延长和完善医药化工产业链。</w:t>
      </w:r>
    </w:p>
    <w:p>
      <w:pPr>
        <w:adjustRightInd w:val="0"/>
        <w:snapToGrid w:val="0"/>
        <w:spacing w:line="360" w:lineRule="auto"/>
        <w:ind w:firstLine="600" w:firstLineChars="200"/>
        <w:rPr>
          <w:rFonts w:ascii="仿宋" w:hAnsi="仿宋" w:eastAsia="仿宋"/>
          <w:bCs/>
          <w:color w:val="000000"/>
          <w:sz w:val="30"/>
          <w:szCs w:val="30"/>
        </w:rPr>
      </w:pPr>
      <w:r>
        <w:rPr>
          <w:rFonts w:hint="eastAsia" w:ascii="仿宋" w:hAnsi="仿宋" w:eastAsia="仿宋"/>
          <w:bCs/>
          <w:color w:val="000000"/>
          <w:sz w:val="30"/>
          <w:szCs w:val="30"/>
        </w:rPr>
        <w:t>（3）精细化工产业</w:t>
      </w:r>
    </w:p>
    <w:p>
      <w:pPr>
        <w:adjustRightInd w:val="0"/>
        <w:snapToGrid w:val="0"/>
        <w:spacing w:line="360" w:lineRule="auto"/>
        <w:ind w:firstLine="600" w:firstLineChars="200"/>
        <w:rPr>
          <w:rFonts w:ascii="仿宋" w:hAnsi="仿宋" w:eastAsia="仿宋"/>
          <w:bCs/>
          <w:color w:val="000000"/>
          <w:sz w:val="30"/>
          <w:szCs w:val="30"/>
        </w:rPr>
      </w:pPr>
      <w:r>
        <w:rPr>
          <w:rFonts w:hint="eastAsia" w:ascii="仿宋" w:hAnsi="仿宋" w:eastAsia="仿宋"/>
          <w:bCs/>
          <w:color w:val="000000"/>
          <w:sz w:val="30"/>
          <w:szCs w:val="30"/>
        </w:rPr>
        <w:t>一是引进</w:t>
      </w:r>
      <w:r>
        <w:fldChar w:fldCharType="begin"/>
      </w:r>
      <w:r>
        <w:instrText xml:space="preserve"> HYPERLINK \l "_Toc77443001" </w:instrText>
      </w:r>
      <w:r>
        <w:fldChar w:fldCharType="separate"/>
      </w:r>
      <w:r>
        <w:rPr>
          <w:rFonts w:hint="eastAsia" w:ascii="仿宋" w:hAnsi="仿宋" w:eastAsia="仿宋"/>
          <w:bCs/>
          <w:color w:val="000000"/>
          <w:sz w:val="30"/>
          <w:szCs w:val="30"/>
        </w:rPr>
        <w:t>发展生物基化学品及其上下游产业，主要发展丁二酸、1,3-丙二醇等。二是</w:t>
      </w:r>
      <w:r>
        <w:rPr>
          <w:rFonts w:hint="eastAsia" w:ascii="仿宋" w:hAnsi="仿宋" w:eastAsia="仿宋"/>
          <w:bCs/>
          <w:color w:val="000000"/>
          <w:sz w:val="30"/>
          <w:szCs w:val="30"/>
        </w:rPr>
        <w:fldChar w:fldCharType="end"/>
      </w:r>
      <w:r>
        <w:rPr>
          <w:rFonts w:hint="eastAsia" w:ascii="仿宋" w:hAnsi="仿宋" w:eastAsia="仿宋"/>
          <w:bCs/>
          <w:color w:val="000000"/>
          <w:sz w:val="30"/>
          <w:szCs w:val="30"/>
        </w:rPr>
        <w:t>引进</w:t>
      </w:r>
      <w:r>
        <w:fldChar w:fldCharType="begin"/>
      </w:r>
      <w:r>
        <w:instrText xml:space="preserve"> HYPERLINK \l "_Toc77443002" </w:instrText>
      </w:r>
      <w:r>
        <w:fldChar w:fldCharType="separate"/>
      </w:r>
      <w:r>
        <w:rPr>
          <w:rFonts w:hint="eastAsia" w:ascii="仿宋" w:hAnsi="仿宋" w:eastAsia="仿宋"/>
          <w:bCs/>
          <w:color w:val="000000"/>
          <w:sz w:val="30"/>
          <w:szCs w:val="30"/>
        </w:rPr>
        <w:t>发展油气田化学品及其上下游产业，主要发展生物聚合物、羧甲基纤维素钠钠盐、粘土稳定剂、天然聚合物、聚丙烯酰胺、表面活性剂等通用化学品；钻井液处理剂；固井助剂等钻井用化学品；酸化用化学品、提高采收率用化学品、集输用化学品等采收用化学品。三是</w:t>
      </w:r>
      <w:r>
        <w:rPr>
          <w:rFonts w:hint="eastAsia" w:ascii="仿宋" w:hAnsi="仿宋" w:eastAsia="仿宋"/>
          <w:bCs/>
          <w:color w:val="000000"/>
          <w:sz w:val="30"/>
          <w:szCs w:val="30"/>
        </w:rPr>
        <w:fldChar w:fldCharType="end"/>
      </w:r>
      <w:r>
        <w:rPr>
          <w:rFonts w:hint="eastAsia" w:ascii="仿宋" w:hAnsi="仿宋" w:eastAsia="仿宋"/>
          <w:bCs/>
          <w:color w:val="000000"/>
          <w:sz w:val="30"/>
          <w:szCs w:val="30"/>
        </w:rPr>
        <w:t>引进</w:t>
      </w:r>
      <w:r>
        <w:fldChar w:fldCharType="begin"/>
      </w:r>
      <w:r>
        <w:instrText xml:space="preserve"> HYPERLINK \l "_Toc77443003" </w:instrText>
      </w:r>
      <w:r>
        <w:fldChar w:fldCharType="separate"/>
      </w:r>
      <w:r>
        <w:rPr>
          <w:rFonts w:hint="eastAsia" w:ascii="仿宋" w:hAnsi="仿宋" w:eastAsia="仿宋"/>
          <w:bCs/>
          <w:color w:val="000000"/>
          <w:sz w:val="30"/>
          <w:szCs w:val="30"/>
        </w:rPr>
        <w:t>绿色涂料及其上下游产业，重点发展建筑/装饰涂料；汽车涂料；发展与装备制造配套的工业防护涂料、交通标志涂料；船舶、集装箱防腐涂料；无溶剂的粉末涂料、UV固化涂料等。四是</w:t>
      </w:r>
      <w:r>
        <w:rPr>
          <w:rFonts w:hint="eastAsia" w:ascii="仿宋" w:hAnsi="仿宋" w:eastAsia="仿宋"/>
          <w:bCs/>
          <w:color w:val="000000"/>
          <w:sz w:val="30"/>
          <w:szCs w:val="30"/>
        </w:rPr>
        <w:fldChar w:fldCharType="end"/>
      </w:r>
      <w:r>
        <w:rPr>
          <w:rFonts w:hint="eastAsia" w:ascii="仿宋" w:hAnsi="仿宋" w:eastAsia="仿宋"/>
          <w:bCs/>
          <w:color w:val="000000"/>
          <w:sz w:val="30"/>
          <w:szCs w:val="30"/>
        </w:rPr>
        <w:t>引进发展</w:t>
      </w:r>
      <w:r>
        <w:fldChar w:fldCharType="begin"/>
      </w:r>
      <w:r>
        <w:instrText xml:space="preserve"> HYPERLINK \l "_Toc77443004" </w:instrText>
      </w:r>
      <w:r>
        <w:fldChar w:fldCharType="separate"/>
      </w:r>
      <w:r>
        <w:rPr>
          <w:rFonts w:hint="eastAsia" w:ascii="仿宋" w:hAnsi="仿宋" w:eastAsia="仿宋"/>
          <w:bCs/>
          <w:color w:val="000000"/>
          <w:sz w:val="30"/>
          <w:szCs w:val="30"/>
        </w:rPr>
        <w:t>电子化学品</w:t>
      </w:r>
      <w:r>
        <w:rPr>
          <w:rFonts w:hint="eastAsia" w:ascii="仿宋" w:hAnsi="仿宋" w:eastAsia="仿宋"/>
          <w:bCs/>
          <w:color w:val="000000"/>
          <w:sz w:val="30"/>
          <w:szCs w:val="30"/>
        </w:rPr>
        <w:fldChar w:fldCharType="end"/>
      </w:r>
      <w:r>
        <w:rPr>
          <w:rFonts w:hint="eastAsia" w:ascii="仿宋" w:hAnsi="仿宋" w:eastAsia="仿宋"/>
          <w:bCs/>
          <w:color w:val="000000"/>
          <w:sz w:val="30"/>
          <w:szCs w:val="30"/>
        </w:rPr>
        <w:t>及其上下游产业，重点引入超高纯电子级试剂、光刻胶、电极材料、显示材料、碳材料、隔膜、封装材料等电子化学品项目。五是引进改性材料及其上下游产业项目,主要发展车用改性材料和电子电气改性材料。</w:t>
      </w:r>
    </w:p>
    <w:p>
      <w:pPr>
        <w:adjustRightInd w:val="0"/>
        <w:snapToGrid w:val="0"/>
        <w:ind w:firstLine="640" w:firstLineChars="200"/>
      </w:pPr>
      <w:r>
        <w:rPr>
          <w:rFonts w:hint="eastAsia" w:ascii="仿宋_GB2312" w:eastAsia="仿宋_GB2312"/>
          <w:bCs/>
          <w:sz w:val="32"/>
          <w:szCs w:val="32"/>
        </w:rPr>
        <w:drawing>
          <wp:inline distT="0" distB="0" distL="0" distR="0">
            <wp:extent cx="4500245" cy="8082280"/>
            <wp:effectExtent l="0" t="0" r="0" b="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506306" cy="8093275"/>
                    </a:xfrm>
                    <a:prstGeom prst="rect">
                      <a:avLst/>
                    </a:prstGeom>
                    <a:noFill/>
                    <a:ln>
                      <a:noFill/>
                    </a:ln>
                  </pic:spPr>
                </pic:pic>
              </a:graphicData>
            </a:graphic>
          </wp:inline>
        </w:drawing>
      </w:r>
    </w:p>
    <w:p>
      <w:pPr>
        <w:adjustRightInd w:val="0"/>
        <w:snapToGrid w:val="0"/>
        <w:ind w:firstLine="560" w:firstLineChars="200"/>
        <w:jc w:val="center"/>
        <w:rPr>
          <w:rFonts w:ascii="黑体" w:hAnsi="黑体" w:eastAsia="黑体"/>
          <w:sz w:val="28"/>
          <w:szCs w:val="28"/>
        </w:rPr>
      </w:pPr>
    </w:p>
    <w:p>
      <w:pPr>
        <w:adjustRightInd w:val="0"/>
        <w:snapToGrid w:val="0"/>
        <w:ind w:firstLine="560" w:firstLineChars="200"/>
        <w:jc w:val="center"/>
        <w:rPr>
          <w:rFonts w:ascii="黑体" w:hAnsi="黑体" w:eastAsia="黑体"/>
          <w:sz w:val="28"/>
          <w:szCs w:val="28"/>
        </w:rPr>
      </w:pPr>
      <w:r>
        <w:rPr>
          <w:rFonts w:hint="eastAsia" w:ascii="黑体" w:hAnsi="黑体" w:eastAsia="黑体"/>
          <w:sz w:val="28"/>
          <w:szCs w:val="28"/>
        </w:rPr>
        <w:t>图4-1  园区页岩气产业链</w:t>
      </w:r>
    </w:p>
    <w:p>
      <w:pPr>
        <w:shd w:val="clear" w:color="auto" w:fill="FFFFFF"/>
        <w:adjustRightInd w:val="0"/>
        <w:snapToGrid w:val="0"/>
        <w:spacing w:line="360" w:lineRule="auto"/>
        <w:jc w:val="center"/>
        <w:rPr>
          <w:rFonts w:ascii="黑体" w:hAnsi="黑体" w:eastAsia="黑体"/>
          <w:sz w:val="30"/>
          <w:szCs w:val="30"/>
        </w:rPr>
      </w:pPr>
      <w:r>
        <w:rPr>
          <w:rFonts w:ascii="仿宋_GB2312" w:eastAsia="仿宋_GB2312"/>
          <w:sz w:val="32"/>
          <w:szCs w:val="32"/>
        </w:rPr>
        <w:drawing>
          <wp:inline distT="0" distB="0" distL="0" distR="0">
            <wp:extent cx="4257675" cy="4010025"/>
            <wp:effectExtent l="19050" t="0" r="9525" b="0"/>
            <wp:docPr id="4" name="图片 1" descr="C:\Users\ADMINI~1\AppData\Local\Temp\1639924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1\AppData\Local\Temp\1639924400(1).png"/>
                    <pic:cNvPicPr>
                      <a:picLocks noChangeAspect="1" noChangeArrowheads="1"/>
                    </pic:cNvPicPr>
                  </pic:nvPicPr>
                  <pic:blipFill>
                    <a:blip r:embed="rId13" cstate="print"/>
                    <a:srcRect/>
                    <a:stretch>
                      <a:fillRect/>
                    </a:stretch>
                  </pic:blipFill>
                  <pic:spPr>
                    <a:xfrm>
                      <a:off x="0" y="0"/>
                      <a:ext cx="4258430" cy="4011327"/>
                    </a:xfrm>
                    <a:prstGeom prst="rect">
                      <a:avLst/>
                    </a:prstGeom>
                    <a:noFill/>
                    <a:ln w="9525">
                      <a:noFill/>
                      <a:miter lim="800000"/>
                      <a:headEnd/>
                      <a:tailEnd/>
                    </a:ln>
                  </pic:spPr>
                </pic:pic>
              </a:graphicData>
            </a:graphic>
          </wp:inline>
        </w:drawing>
      </w:r>
    </w:p>
    <w:p>
      <w:pPr>
        <w:adjustRightInd w:val="0"/>
        <w:snapToGrid w:val="0"/>
        <w:ind w:firstLine="560" w:firstLineChars="200"/>
        <w:jc w:val="center"/>
        <w:rPr>
          <w:rFonts w:ascii="黑体" w:hAnsi="黑体" w:eastAsia="黑体"/>
          <w:sz w:val="28"/>
          <w:szCs w:val="28"/>
        </w:rPr>
      </w:pPr>
    </w:p>
    <w:p>
      <w:pPr>
        <w:adjustRightInd w:val="0"/>
        <w:snapToGrid w:val="0"/>
        <w:ind w:firstLine="560" w:firstLineChars="200"/>
        <w:jc w:val="center"/>
        <w:rPr>
          <w:rFonts w:ascii="黑体" w:hAnsi="黑体" w:eastAsia="黑体"/>
          <w:sz w:val="28"/>
          <w:szCs w:val="28"/>
        </w:rPr>
      </w:pPr>
      <w:r>
        <w:rPr>
          <w:rFonts w:hint="eastAsia" w:ascii="黑体" w:hAnsi="黑体" w:eastAsia="黑体"/>
          <w:sz w:val="28"/>
          <w:szCs w:val="28"/>
        </w:rPr>
        <w:t>图4-2 氯碱产业链</w:t>
      </w:r>
    </w:p>
    <w:p>
      <w:pPr>
        <w:shd w:val="clear" w:color="auto" w:fill="FFFFFF"/>
        <w:adjustRightInd w:val="0"/>
        <w:snapToGrid w:val="0"/>
        <w:spacing w:line="360" w:lineRule="auto"/>
        <w:ind w:firstLine="600" w:firstLineChars="200"/>
        <w:rPr>
          <w:rFonts w:ascii="黑体" w:hAnsi="黑体" w:eastAsia="黑体"/>
          <w:sz w:val="30"/>
          <w:szCs w:val="30"/>
        </w:rPr>
      </w:pPr>
    </w:p>
    <w:p>
      <w:pPr>
        <w:adjustRightInd w:val="0"/>
        <w:snapToGrid w:val="0"/>
        <w:spacing w:line="360" w:lineRule="auto"/>
        <w:ind w:firstLine="600" w:firstLineChars="200"/>
        <w:rPr>
          <w:rFonts w:ascii="黑体" w:hAnsi="黑体" w:eastAsia="黑体"/>
          <w:sz w:val="30"/>
          <w:szCs w:val="30"/>
        </w:rPr>
      </w:pPr>
      <w:r>
        <w:rPr>
          <w:rFonts w:hint="eastAsia" w:ascii="黑体" w:hAnsi="黑体" w:eastAsia="黑体"/>
          <w:sz w:val="30"/>
          <w:szCs w:val="30"/>
        </w:rPr>
        <w:t>2、重点布局大企业大项目龙头</w:t>
      </w:r>
    </w:p>
    <w:p>
      <w:pPr>
        <w:adjustRightInd w:val="0"/>
        <w:snapToGrid w:val="0"/>
        <w:spacing w:line="360" w:lineRule="auto"/>
        <w:ind w:firstLine="602" w:firstLineChars="200"/>
        <w:rPr>
          <w:rFonts w:ascii="仿宋" w:hAnsi="仿宋" w:eastAsia="仿宋"/>
          <w:sz w:val="30"/>
          <w:szCs w:val="30"/>
        </w:rPr>
      </w:pPr>
      <w:r>
        <w:rPr>
          <w:rFonts w:hint="eastAsia" w:ascii="仿宋" w:hAnsi="仿宋" w:eastAsia="仿宋"/>
          <w:b/>
          <w:sz w:val="30"/>
          <w:szCs w:val="30"/>
        </w:rPr>
        <w:t>布局重点项目。</w:t>
      </w:r>
      <w:r>
        <w:rPr>
          <w:rFonts w:hint="eastAsia" w:ascii="仿宋" w:hAnsi="仿宋" w:eastAsia="仿宋"/>
          <w:sz w:val="30"/>
          <w:szCs w:val="30"/>
        </w:rPr>
        <w:t>厘清龙头企业的原料构成和产品衍生，争取续接上下游产品企业，做长产业链；研究主攻行业的全产业链，争取续接每个链条节点企业，打造企业方阵。以创新驱动为取向，以人才为支撑、项目为引领，构建园区化工产业体系；搭建孵化平台，实施人才战略，吸引一批行业领军人物和国家级重点实验室、工程技术研究中心入驻，大力研发和孵化新产品。</w:t>
      </w:r>
    </w:p>
    <w:p>
      <w:pPr>
        <w:shd w:val="clear" w:color="auto" w:fill="FFFFFF"/>
        <w:adjustRightInd w:val="0"/>
        <w:snapToGrid w:val="0"/>
        <w:spacing w:line="360" w:lineRule="auto"/>
        <w:ind w:firstLine="602" w:firstLineChars="200"/>
        <w:rPr>
          <w:rFonts w:ascii="仿宋" w:hAnsi="仿宋" w:eastAsia="仿宋" w:cstheme="minorBidi"/>
          <w:sz w:val="30"/>
          <w:szCs w:val="30"/>
        </w:rPr>
      </w:pPr>
      <w:r>
        <w:rPr>
          <w:rFonts w:hint="eastAsia" w:ascii="仿宋" w:hAnsi="仿宋" w:eastAsia="仿宋"/>
          <w:b/>
          <w:sz w:val="30"/>
          <w:szCs w:val="30"/>
        </w:rPr>
        <w:t>招引龙头企业。</w:t>
      </w:r>
      <w:r>
        <w:rPr>
          <w:rFonts w:hint="eastAsia" w:ascii="仿宋" w:hAnsi="仿宋" w:eastAsia="仿宋" w:cstheme="minorBidi"/>
          <w:sz w:val="30"/>
          <w:szCs w:val="30"/>
        </w:rPr>
        <w:t>充分借鉴国内外化工园区</w:t>
      </w:r>
      <w:r>
        <w:rPr>
          <w:rFonts w:ascii="仿宋" w:hAnsi="仿宋" w:eastAsia="仿宋" w:cstheme="minorBidi"/>
          <w:sz w:val="30"/>
          <w:szCs w:val="30"/>
        </w:rPr>
        <w:t>一体化体系创造了从基础化学品到高附加值产品的高效价值链</w:t>
      </w:r>
      <w:r>
        <w:rPr>
          <w:rFonts w:hint="eastAsia" w:ascii="仿宋" w:hAnsi="仿宋" w:eastAsia="仿宋" w:cstheme="minorBidi"/>
          <w:sz w:val="30"/>
          <w:szCs w:val="30"/>
        </w:rPr>
        <w:t>的经验，着力引进具有从基础化学产品到高端附加值产品生产能力的龙头企业，形成龙头企业引领的产业集群；学习借鉴成都芯谷经验，积极加强与中石油、中石化等国内大型化工企业专业平台公司对接，由专业公司进行园区整体运营和招商引资，实现园区一体化发展。</w:t>
      </w:r>
    </w:p>
    <w:p>
      <w:pPr>
        <w:shd w:val="clear" w:color="auto" w:fill="FFFFFF"/>
        <w:adjustRightInd w:val="0"/>
        <w:snapToGrid w:val="0"/>
        <w:spacing w:line="360" w:lineRule="auto"/>
        <w:ind w:firstLine="600" w:firstLineChars="200"/>
        <w:rPr>
          <w:rFonts w:ascii="黑体" w:hAnsi="黑体" w:eastAsia="黑体"/>
          <w:sz w:val="30"/>
          <w:szCs w:val="30"/>
        </w:rPr>
      </w:pPr>
      <w:r>
        <w:rPr>
          <w:rFonts w:hint="eastAsia" w:ascii="黑体" w:hAnsi="黑体" w:eastAsia="黑体"/>
          <w:sz w:val="30"/>
          <w:szCs w:val="30"/>
        </w:rPr>
        <w:t>3、加强区域合作构建化工产业生态圈</w:t>
      </w:r>
    </w:p>
    <w:p>
      <w:pPr>
        <w:pStyle w:val="154"/>
        <w:adjustRightInd w:val="0"/>
        <w:snapToGrid w:val="0"/>
        <w:spacing w:line="360" w:lineRule="auto"/>
        <w:ind w:firstLine="600" w:firstLineChars="200"/>
        <w:outlineLvl w:val="2"/>
        <w:rPr>
          <w:rFonts w:ascii="仿宋" w:hAnsi="仿宋" w:eastAsia="仿宋" w:cstheme="minorBidi"/>
          <w:kern w:val="0"/>
          <w:sz w:val="30"/>
          <w:szCs w:val="30"/>
        </w:rPr>
      </w:pPr>
      <w:r>
        <w:rPr>
          <w:rFonts w:hint="eastAsia" w:ascii="仿宋" w:hAnsi="仿宋" w:eastAsia="仿宋" w:cstheme="minorBidi"/>
          <w:kern w:val="0"/>
          <w:sz w:val="30"/>
          <w:szCs w:val="30"/>
        </w:rPr>
        <w:t>加强与泸州市、成渝地区双城经济圈化工产业园区协同发展，强化园区化工产业发展方向与周边化工产业形成</w:t>
      </w:r>
      <w:r>
        <w:rPr>
          <w:rFonts w:ascii="仿宋" w:hAnsi="仿宋" w:eastAsia="仿宋" w:cstheme="minorBidi"/>
          <w:kern w:val="0"/>
          <w:sz w:val="30"/>
          <w:szCs w:val="30"/>
        </w:rPr>
        <w:t>错位互补、有机融合、一体发展的</w:t>
      </w:r>
      <w:r>
        <w:rPr>
          <w:rFonts w:hint="eastAsia" w:ascii="仿宋" w:hAnsi="仿宋" w:eastAsia="仿宋" w:cstheme="minorBidi"/>
          <w:kern w:val="0"/>
          <w:sz w:val="30"/>
          <w:szCs w:val="30"/>
        </w:rPr>
        <w:t>产业</w:t>
      </w:r>
      <w:r>
        <w:rPr>
          <w:rFonts w:ascii="仿宋" w:hAnsi="仿宋" w:eastAsia="仿宋" w:cstheme="minorBidi"/>
          <w:kern w:val="0"/>
          <w:sz w:val="30"/>
          <w:szCs w:val="30"/>
        </w:rPr>
        <w:t>新格局</w:t>
      </w:r>
      <w:r>
        <w:rPr>
          <w:rFonts w:hint="eastAsia" w:ascii="仿宋" w:hAnsi="仿宋" w:eastAsia="仿宋" w:cstheme="minorBidi"/>
          <w:kern w:val="0"/>
          <w:sz w:val="30"/>
          <w:szCs w:val="30"/>
        </w:rPr>
        <w:t>，以形成完整区域配套，增强产业基础能力和产业链水平。依据园区不同产业定位，加强创新链合作，</w:t>
      </w:r>
      <w:r>
        <w:rPr>
          <w:rFonts w:ascii="仿宋" w:hAnsi="仿宋" w:eastAsia="仿宋" w:cstheme="minorBidi"/>
          <w:kern w:val="0"/>
          <w:sz w:val="30"/>
          <w:szCs w:val="30"/>
        </w:rPr>
        <w:t>基于创新链产业链细化的节点分工，分析链条构建存在的资源缺失或资源错配问题，建立需求和问题导向的协同创新实施细则。实施细则应包括创新种群扩充举措、创新群落培育举措，创新链产业链构建举措等，进而形成由协同发展纲要、产业指南、产业清单、路线图、实施细则、实施举措构成的协同创新政策矩阵，改变创新资源整合的自发和盲目状态，为创新资源跨区域整合提供政策依据。</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22" w:type="dxa"/>
          </w:tcPr>
          <w:p>
            <w:pPr>
              <w:pStyle w:val="154"/>
              <w:adjustRightInd w:val="0"/>
              <w:snapToGrid w:val="0"/>
              <w:spacing w:beforeLines="50" w:line="360" w:lineRule="auto"/>
              <w:jc w:val="center"/>
              <w:outlineLvl w:val="2"/>
              <w:rPr>
                <w:rFonts w:ascii="黑体" w:hAnsi="黑体" w:eastAsia="黑体" w:cstheme="minorBidi"/>
                <w:sz w:val="28"/>
                <w:szCs w:val="28"/>
              </w:rPr>
            </w:pPr>
            <w:r>
              <w:rPr>
                <w:rFonts w:hint="eastAsia" w:ascii="黑体" w:hAnsi="黑体" w:eastAsia="黑体" w:cstheme="minorBidi"/>
                <w:sz w:val="28"/>
                <w:szCs w:val="28"/>
              </w:rPr>
              <w:t>专栏4-1  页岩气综合利用重点项目</w:t>
            </w:r>
          </w:p>
          <w:p>
            <w:pPr>
              <w:widowControl w:val="0"/>
              <w:adjustRightInd w:val="0"/>
              <w:snapToGrid w:val="0"/>
              <w:spacing w:line="360" w:lineRule="auto"/>
              <w:ind w:firstLine="482" w:firstLineChars="200"/>
              <w:jc w:val="both"/>
              <w:rPr>
                <w:rFonts w:ascii="仿宋" w:hAnsi="仿宋" w:eastAsia="仿宋"/>
              </w:rPr>
            </w:pPr>
            <w:bookmarkStart w:id="29" w:name="_Toc2599"/>
            <w:r>
              <w:rPr>
                <w:rFonts w:hint="eastAsia" w:ascii="仿宋" w:hAnsi="仿宋" w:eastAsia="仿宋"/>
                <w:b/>
              </w:rPr>
              <w:t>加氢项目</w:t>
            </w:r>
            <w:bookmarkEnd w:id="29"/>
            <w:r>
              <w:rPr>
                <w:rFonts w:hint="eastAsia" w:ascii="仿宋" w:hAnsi="仿宋" w:eastAsia="仿宋"/>
                <w:b/>
              </w:rPr>
              <w:t>。</w:t>
            </w:r>
            <w:r>
              <w:rPr>
                <w:rFonts w:ascii="仿宋" w:hAnsi="仿宋" w:eastAsia="仿宋"/>
              </w:rPr>
              <w:t>依托</w:t>
            </w:r>
            <w:r>
              <w:rPr>
                <w:rFonts w:hint="eastAsia" w:ascii="仿宋" w:hAnsi="仿宋" w:eastAsia="仿宋"/>
              </w:rPr>
              <w:t>页岩气</w:t>
            </w:r>
            <w:r>
              <w:rPr>
                <w:rFonts w:ascii="仿宋" w:hAnsi="仿宋" w:eastAsia="仿宋"/>
              </w:rPr>
              <w:t>制氢</w:t>
            </w:r>
            <w:r>
              <w:rPr>
                <w:rFonts w:hint="eastAsia" w:ascii="仿宋" w:hAnsi="仿宋" w:eastAsia="仿宋"/>
              </w:rPr>
              <w:t>，</w:t>
            </w:r>
            <w:r>
              <w:rPr>
                <w:rFonts w:ascii="仿宋" w:hAnsi="仿宋" w:eastAsia="仿宋"/>
              </w:rPr>
              <w:t>联合氯碱工业副产氢</w:t>
            </w:r>
            <w:r>
              <w:rPr>
                <w:rFonts w:hint="eastAsia" w:ascii="仿宋" w:hAnsi="仿宋" w:eastAsia="仿宋"/>
              </w:rPr>
              <w:t>，用于化工生产的加氢单元。同时规划建设过氧化氢项目，并延伸发展过碳酸钠、水合肼、发泡剂等精细化工品。（1）</w:t>
            </w:r>
            <w:r>
              <w:rPr>
                <w:rFonts w:ascii="仿宋" w:hAnsi="仿宋" w:eastAsia="仿宋"/>
              </w:rPr>
              <w:t>20</w:t>
            </w:r>
            <w:r>
              <w:rPr>
                <w:rFonts w:hint="eastAsia" w:ascii="仿宋" w:hAnsi="仿宋" w:eastAsia="仿宋"/>
              </w:rPr>
              <w:t>万吨</w:t>
            </w:r>
            <w:r>
              <w:rPr>
                <w:rFonts w:ascii="仿宋" w:hAnsi="仿宋" w:eastAsia="仿宋"/>
              </w:rPr>
              <w:t>/</w:t>
            </w:r>
            <w:r>
              <w:rPr>
                <w:rFonts w:hint="eastAsia" w:ascii="仿宋" w:hAnsi="仿宋" w:eastAsia="仿宋"/>
              </w:rPr>
              <w:t>年过氧化氢项目。</w:t>
            </w:r>
            <w:bookmarkStart w:id="30" w:name="_Hlk76715973"/>
            <w:r>
              <w:rPr>
                <w:rFonts w:hint="eastAsia" w:ascii="仿宋" w:hAnsi="仿宋" w:eastAsia="仿宋"/>
              </w:rPr>
              <w:t>过氧化氢俗称双氧水，可分解产生氧气和氢气，被称为“最清洁”的化工产品。过氧化氢是一种强氧化剂，具有漂白、氧化、消毒、杀菌等多种功效，被广泛应用于纸浆、织物、毛皮漂白，电子元件侵蚀、清洗、食品保鲜杀菌、医用、畜牧业消毒、污水处理等。过氧化氢还是重要的化工合成原料，可用于环氧化物、过氧化物、水和肼、对苯二酚、甘油、酒石酸、己内酰胺、农药、洗涤剂原料、橡胶硫化促进剂等化学品的制备。建设过氧化氢项目，一方面可用于泸州及周边市场的造纸业、畜牧业和食品业，另一方面为水合肼项目、过碳酸钠项目提供原料支撑。</w:t>
            </w:r>
            <w:bookmarkEnd w:id="30"/>
            <w:r>
              <w:rPr>
                <w:rFonts w:hint="eastAsia" w:ascii="仿宋" w:hAnsi="仿宋" w:eastAsia="仿宋"/>
              </w:rPr>
              <w:t>（2）</w:t>
            </w:r>
            <w:r>
              <w:rPr>
                <w:rFonts w:ascii="仿宋" w:hAnsi="仿宋" w:eastAsia="仿宋"/>
              </w:rPr>
              <w:t>1.5</w:t>
            </w:r>
            <w:r>
              <w:rPr>
                <w:rFonts w:hint="eastAsia" w:ascii="仿宋" w:hAnsi="仿宋" w:eastAsia="仿宋"/>
              </w:rPr>
              <w:t>万吨</w:t>
            </w:r>
            <w:r>
              <w:rPr>
                <w:rFonts w:ascii="仿宋" w:hAnsi="仿宋" w:eastAsia="仿宋"/>
              </w:rPr>
              <w:t>/</w:t>
            </w:r>
            <w:r>
              <w:rPr>
                <w:rFonts w:hint="eastAsia" w:ascii="仿宋" w:hAnsi="仿宋" w:eastAsia="仿宋"/>
              </w:rPr>
              <w:t>年水合肼项目，3万吨/年A</w:t>
            </w:r>
            <w:r>
              <w:rPr>
                <w:rFonts w:ascii="仿宋" w:hAnsi="仿宋" w:eastAsia="仿宋"/>
              </w:rPr>
              <w:t>D</w:t>
            </w:r>
            <w:r>
              <w:rPr>
                <w:rFonts w:hint="eastAsia" w:ascii="仿宋" w:hAnsi="仿宋" w:eastAsia="仿宋"/>
              </w:rPr>
              <w:t>C发泡剂项目。</w:t>
            </w:r>
            <w:bookmarkStart w:id="31" w:name="_Hlk76716368"/>
            <w:r>
              <w:rPr>
                <w:rFonts w:hint="eastAsia" w:ascii="仿宋" w:hAnsi="仿宋" w:eastAsia="仿宋"/>
              </w:rPr>
              <w:t>利用本地合成氨资源，外采丙酮，以过氧化氢为催化剂，通过酮联氮法合成水合肼，结合本地尿素资源生产偶氮二甲酰胺（A</w:t>
            </w:r>
            <w:r>
              <w:rPr>
                <w:rFonts w:ascii="仿宋" w:hAnsi="仿宋" w:eastAsia="仿宋"/>
              </w:rPr>
              <w:t>D</w:t>
            </w:r>
            <w:r>
              <w:rPr>
                <w:rFonts w:hint="eastAsia" w:ascii="仿宋" w:hAnsi="仿宋" w:eastAsia="仿宋"/>
              </w:rPr>
              <w:t>C）发泡剂。A</w:t>
            </w:r>
            <w:r>
              <w:rPr>
                <w:rFonts w:ascii="仿宋" w:hAnsi="仿宋" w:eastAsia="仿宋"/>
              </w:rPr>
              <w:t>D</w:t>
            </w:r>
            <w:r>
              <w:rPr>
                <w:rFonts w:hint="eastAsia" w:ascii="仿宋" w:hAnsi="仿宋" w:eastAsia="仿宋"/>
              </w:rPr>
              <w:t>C发泡剂具有发气量大、分解产物无毒无污染、价格低等优点，是橡塑制品中使用最广泛的有机发泡剂。A</w:t>
            </w:r>
            <w:r>
              <w:rPr>
                <w:rFonts w:ascii="仿宋" w:hAnsi="仿宋" w:eastAsia="仿宋"/>
              </w:rPr>
              <w:t>D</w:t>
            </w:r>
            <w:r>
              <w:rPr>
                <w:rFonts w:hint="eastAsia" w:ascii="仿宋" w:hAnsi="仿宋" w:eastAsia="仿宋"/>
              </w:rPr>
              <w:t>C发泡剂主要用于聚氯乙烯、聚乙烯、E</w:t>
            </w:r>
            <w:r>
              <w:rPr>
                <w:rFonts w:ascii="仿宋" w:hAnsi="仿宋" w:eastAsia="仿宋"/>
              </w:rPr>
              <w:t>VA</w:t>
            </w:r>
            <w:r>
              <w:rPr>
                <w:rFonts w:hint="eastAsia" w:ascii="仿宋" w:hAnsi="仿宋" w:eastAsia="仿宋"/>
              </w:rPr>
              <w:t>、天然橡胶及合成橡胶等材料的常压发泡或加压发泡，还可用于面粉改良剂、熏蒸剂和安全气囊的产气剂等。A</w:t>
            </w:r>
            <w:r>
              <w:rPr>
                <w:rFonts w:ascii="仿宋" w:hAnsi="仿宋" w:eastAsia="仿宋"/>
              </w:rPr>
              <w:t>D</w:t>
            </w:r>
            <w:r>
              <w:rPr>
                <w:rFonts w:hint="eastAsia" w:ascii="仿宋" w:hAnsi="仿宋" w:eastAsia="仿宋"/>
              </w:rPr>
              <w:t>C发泡剂的传统应用领域为制鞋、制革、建材、家电行业，近年来还被应用于橡塑保温材料、汽车内饰等新型环保、节能材料行业。新兴领域在A</w:t>
            </w:r>
            <w:r>
              <w:rPr>
                <w:rFonts w:ascii="仿宋" w:hAnsi="仿宋" w:eastAsia="仿宋"/>
              </w:rPr>
              <w:t>D</w:t>
            </w:r>
            <w:r>
              <w:rPr>
                <w:rFonts w:hint="eastAsia" w:ascii="仿宋" w:hAnsi="仿宋" w:eastAsia="仿宋"/>
              </w:rPr>
              <w:t>C发泡剂的下游消费结构中所占比例不断上升，未来市场前景广阔</w:t>
            </w:r>
            <w:bookmarkEnd w:id="31"/>
            <w:r>
              <w:rPr>
                <w:rFonts w:hint="eastAsia" w:ascii="仿宋" w:hAnsi="仿宋" w:eastAsia="仿宋"/>
              </w:rPr>
              <w:t>。（3）3万吨/年过碳酸钠项目。</w:t>
            </w:r>
            <w:bookmarkStart w:id="32" w:name="_Hlk76716450"/>
            <w:r>
              <w:rPr>
                <w:rFonts w:hint="eastAsia" w:ascii="仿宋" w:hAnsi="仿宋" w:eastAsia="仿宋"/>
              </w:rPr>
              <w:t>过碳酸钠是过氧化氢与碳酸钠的加成化合物，俗称固体双氧水。过碳酸钠作为高效氧系漂白剂的代表，凭借其优良的漂白活性和杀菌性能，已被广泛地应用于洗涤（洗衣粉、彩漂粉、洗衣机清洗剂等）、印染、纺织、造纸、医药卫生、家居和个人护理品配方等领域。由于在较低的水温下可迅速分解释放出氧气，过碳酸钠还可作为急救用氧来源，适用于家庭（尤其是农村家庭）、军队、地下施工、矿山开采、抗洪和灭火救灾等急救场合。此外，过碳酸钠可与四乙酰乙二胺复配成固体过氧乙酸，相比传统的液体过氧乙酸，具有运输、存储、使用安全方便和杀菌效果强等特点，在公共卫生事件防疫领域大有可为。</w:t>
            </w:r>
          </w:p>
          <w:p>
            <w:pPr>
              <w:widowControl w:val="0"/>
              <w:adjustRightInd w:val="0"/>
              <w:snapToGrid w:val="0"/>
              <w:spacing w:line="360" w:lineRule="auto"/>
              <w:ind w:firstLine="482" w:firstLineChars="200"/>
              <w:jc w:val="both"/>
              <w:rPr>
                <w:rFonts w:ascii="仿宋" w:hAnsi="仿宋" w:eastAsia="仿宋"/>
              </w:rPr>
            </w:pPr>
            <w:r>
              <w:rPr>
                <w:rFonts w:hint="eastAsia" w:ascii="仿宋" w:hAnsi="仿宋" w:eastAsia="仿宋"/>
                <w:b/>
              </w:rPr>
              <w:t>乙炔产业链项目。</w:t>
            </w:r>
            <w:r>
              <w:rPr>
                <w:rFonts w:hint="eastAsia" w:ascii="仿宋" w:hAnsi="仿宋" w:eastAsia="仿宋"/>
              </w:rPr>
              <w:t>乙炔作为重要的化工原料，可进行下游拓展发展精细化工，重点围绕BDO延伸加工、高附加值的精细化炔醇类产品集群、甲醇延伸加工等。</w:t>
            </w:r>
          </w:p>
          <w:bookmarkEnd w:id="32"/>
          <w:p>
            <w:pPr>
              <w:widowControl w:val="0"/>
              <w:adjustRightInd w:val="0"/>
              <w:snapToGrid w:val="0"/>
              <w:spacing w:line="360" w:lineRule="auto"/>
              <w:ind w:firstLine="482" w:firstLineChars="200"/>
              <w:jc w:val="both"/>
              <w:rPr>
                <w:rFonts w:ascii="仿宋" w:hAnsi="仿宋" w:eastAsia="仿宋"/>
              </w:rPr>
            </w:pPr>
            <w:r>
              <w:rPr>
                <w:rFonts w:ascii="仿宋" w:hAnsi="仿宋" w:eastAsia="仿宋"/>
                <w:b/>
              </w:rPr>
              <w:t>BDO延伸加工</w:t>
            </w:r>
            <w:r>
              <w:rPr>
                <w:rFonts w:hint="eastAsia" w:ascii="仿宋" w:hAnsi="仿宋" w:eastAsia="仿宋"/>
                <w:b/>
              </w:rPr>
              <w:t>项目。</w:t>
            </w:r>
            <w:r>
              <w:rPr>
                <w:rFonts w:hint="eastAsia" w:ascii="仿宋" w:hAnsi="仿宋" w:eastAsia="仿宋"/>
              </w:rPr>
              <w:t>规划建设B</w:t>
            </w:r>
            <w:r>
              <w:rPr>
                <w:rFonts w:ascii="仿宋" w:hAnsi="仿宋" w:eastAsia="仿宋"/>
              </w:rPr>
              <w:t>DO</w:t>
            </w:r>
            <w:r>
              <w:rPr>
                <w:rFonts w:hint="eastAsia" w:ascii="仿宋" w:hAnsi="仿宋" w:eastAsia="仿宋"/>
              </w:rPr>
              <w:t>项目，延伸发展P</w:t>
            </w:r>
            <w:r>
              <w:rPr>
                <w:rFonts w:ascii="仿宋" w:hAnsi="仿宋" w:eastAsia="仿宋"/>
              </w:rPr>
              <w:t>TMEG</w:t>
            </w:r>
            <w:r>
              <w:rPr>
                <w:rFonts w:hint="eastAsia" w:ascii="仿宋" w:hAnsi="仿宋" w:eastAsia="仿宋"/>
              </w:rPr>
              <w:t>、</w:t>
            </w:r>
            <w:r>
              <w:rPr>
                <w:rFonts w:ascii="仿宋" w:hAnsi="仿宋" w:eastAsia="仿宋"/>
              </w:rPr>
              <w:t>GBL</w:t>
            </w:r>
            <w:r>
              <w:rPr>
                <w:rFonts w:hint="eastAsia" w:ascii="仿宋" w:hAnsi="仿宋" w:eastAsia="仿宋"/>
              </w:rPr>
              <w:t>和N-甲基吡咯烷酮（NMP）项目。结合</w:t>
            </w:r>
            <w:r>
              <w:rPr>
                <w:rFonts w:ascii="仿宋" w:hAnsi="仿宋" w:eastAsia="仿宋"/>
              </w:rPr>
              <w:t>南充四川能投集团PTA</w:t>
            </w:r>
            <w:r>
              <w:rPr>
                <w:rFonts w:hint="eastAsia" w:ascii="仿宋" w:hAnsi="仿宋" w:eastAsia="仿宋"/>
              </w:rPr>
              <w:t>资源，规划建设可降解塑料P</w:t>
            </w:r>
            <w:r>
              <w:rPr>
                <w:rFonts w:ascii="仿宋" w:hAnsi="仿宋" w:eastAsia="仿宋"/>
              </w:rPr>
              <w:t>BSA</w:t>
            </w:r>
            <w:r>
              <w:rPr>
                <w:rFonts w:hint="eastAsia" w:ascii="仿宋" w:hAnsi="仿宋" w:eastAsia="仿宋"/>
              </w:rPr>
              <w:t>、P</w:t>
            </w:r>
            <w:r>
              <w:rPr>
                <w:rFonts w:ascii="仿宋" w:hAnsi="仿宋" w:eastAsia="仿宋"/>
              </w:rPr>
              <w:t>BAT</w:t>
            </w:r>
            <w:r>
              <w:rPr>
                <w:rFonts w:hint="eastAsia" w:ascii="仿宋" w:hAnsi="仿宋" w:eastAsia="仿宋"/>
              </w:rPr>
              <w:t>，工程塑料P</w:t>
            </w:r>
            <w:r>
              <w:rPr>
                <w:rFonts w:ascii="仿宋" w:hAnsi="仿宋" w:eastAsia="仿宋"/>
              </w:rPr>
              <w:t>BT</w:t>
            </w:r>
            <w:r>
              <w:rPr>
                <w:rFonts w:hint="eastAsia" w:ascii="仿宋" w:hAnsi="仿宋" w:eastAsia="仿宋"/>
              </w:rPr>
              <w:t>与</w:t>
            </w:r>
            <w:r>
              <w:rPr>
                <w:rFonts w:ascii="仿宋" w:hAnsi="仿宋" w:eastAsia="仿宋"/>
              </w:rPr>
              <w:t>热塑性弹性体</w:t>
            </w:r>
            <w:r>
              <w:rPr>
                <w:rFonts w:hint="eastAsia" w:ascii="仿宋" w:hAnsi="仿宋" w:eastAsia="仿宋"/>
              </w:rPr>
              <w:t>T</w:t>
            </w:r>
            <w:r>
              <w:rPr>
                <w:rFonts w:ascii="仿宋" w:hAnsi="仿宋" w:eastAsia="仿宋"/>
              </w:rPr>
              <w:t>PEE</w:t>
            </w:r>
            <w:r>
              <w:rPr>
                <w:rFonts w:hint="eastAsia" w:ascii="仿宋" w:hAnsi="仿宋" w:eastAsia="仿宋"/>
              </w:rPr>
              <w:t>项目，打造高端特种聚酯新材料产业链。（1）</w:t>
            </w:r>
            <w:r>
              <w:rPr>
                <w:rFonts w:ascii="仿宋" w:hAnsi="仿宋" w:eastAsia="仿宋"/>
              </w:rPr>
              <w:t>5</w:t>
            </w:r>
            <w:r>
              <w:rPr>
                <w:rFonts w:hint="eastAsia" w:ascii="仿宋" w:hAnsi="仿宋" w:eastAsia="仿宋"/>
              </w:rPr>
              <w:t>万吨/年</w:t>
            </w:r>
            <w:r>
              <w:rPr>
                <w:rFonts w:ascii="仿宋" w:hAnsi="仿宋" w:eastAsia="仿宋"/>
              </w:rPr>
              <w:t>PTMEG</w:t>
            </w:r>
            <w:r>
              <w:rPr>
                <w:rFonts w:hint="eastAsia" w:ascii="仿宋" w:hAnsi="仿宋" w:eastAsia="仿宋"/>
              </w:rPr>
              <w:t>项目。聚四氢呋喃PTMEG化学名称为聚四亚甲基醚乙二醇，又称为四氢呋喃均聚醚。主要应用领域是生产氨纶、聚氨酯弹性体和酯醚共聚弹性体。规划建设</w:t>
            </w:r>
            <w:r>
              <w:rPr>
                <w:rFonts w:ascii="仿宋" w:hAnsi="仿宋" w:eastAsia="仿宋"/>
              </w:rPr>
              <w:t>5</w:t>
            </w:r>
            <w:r>
              <w:rPr>
                <w:rFonts w:hint="eastAsia" w:ascii="仿宋" w:hAnsi="仿宋" w:eastAsia="仿宋"/>
              </w:rPr>
              <w:t>万吨</w:t>
            </w:r>
            <w:r>
              <w:rPr>
                <w:rFonts w:ascii="仿宋" w:hAnsi="仿宋" w:eastAsia="仿宋"/>
              </w:rPr>
              <w:t>/</w:t>
            </w:r>
            <w:r>
              <w:rPr>
                <w:rFonts w:hint="eastAsia" w:ascii="仿宋" w:hAnsi="仿宋" w:eastAsia="仿宋"/>
              </w:rPr>
              <w:t>年</w:t>
            </w:r>
            <w:r>
              <w:rPr>
                <w:rFonts w:ascii="仿宋" w:hAnsi="仿宋" w:eastAsia="仿宋"/>
              </w:rPr>
              <w:t>PTMEG</w:t>
            </w:r>
            <w:r>
              <w:rPr>
                <w:rFonts w:hint="eastAsia" w:ascii="仿宋" w:hAnsi="仿宋" w:eastAsia="仿宋"/>
              </w:rPr>
              <w:t>项目，可为重庆华峰氨纶有限公司差别化氨纶扩建项目及园区新规划热塑性弹性体T</w:t>
            </w:r>
            <w:r>
              <w:rPr>
                <w:rFonts w:ascii="仿宋" w:hAnsi="仿宋" w:eastAsia="仿宋"/>
              </w:rPr>
              <w:t>PEE</w:t>
            </w:r>
            <w:r>
              <w:rPr>
                <w:rFonts w:hint="eastAsia" w:ascii="仿宋" w:hAnsi="仿宋" w:eastAsia="仿宋"/>
              </w:rPr>
              <w:t>项目提供原料。（2）</w:t>
            </w:r>
            <w:r>
              <w:rPr>
                <w:rFonts w:ascii="仿宋" w:hAnsi="仿宋" w:eastAsia="仿宋"/>
              </w:rPr>
              <w:t>1</w:t>
            </w:r>
            <w:r>
              <w:rPr>
                <w:rFonts w:hint="eastAsia" w:ascii="仿宋" w:hAnsi="仿宋" w:eastAsia="仿宋"/>
              </w:rPr>
              <w:t>万吨/年</w:t>
            </w:r>
            <w:r>
              <w:rPr>
                <w:rFonts w:ascii="仿宋" w:hAnsi="仿宋" w:eastAsia="仿宋"/>
              </w:rPr>
              <w:t>GBL</w:t>
            </w:r>
            <w:r>
              <w:rPr>
                <w:rFonts w:hint="eastAsia" w:ascii="仿宋" w:hAnsi="仿宋" w:eastAsia="仿宋"/>
              </w:rPr>
              <w:t>、</w:t>
            </w:r>
            <w:r>
              <w:rPr>
                <w:rFonts w:ascii="仿宋" w:hAnsi="仿宋" w:eastAsia="仿宋"/>
              </w:rPr>
              <w:t>1</w:t>
            </w:r>
            <w:r>
              <w:rPr>
                <w:rFonts w:hint="eastAsia" w:ascii="仿宋" w:hAnsi="仿宋" w:eastAsia="仿宋"/>
              </w:rPr>
              <w:t>万吨/年</w:t>
            </w:r>
            <w:r>
              <w:rPr>
                <w:rFonts w:ascii="仿宋" w:hAnsi="仿宋" w:eastAsia="仿宋"/>
              </w:rPr>
              <w:t>NMP</w:t>
            </w:r>
            <w:r>
              <w:rPr>
                <w:rFonts w:hint="eastAsia" w:ascii="仿宋" w:hAnsi="仿宋" w:eastAsia="仿宋"/>
              </w:rPr>
              <w:t>项目。</w:t>
            </w:r>
            <w:bookmarkStart w:id="33" w:name="_Hlk76716890"/>
            <w:r>
              <w:rPr>
                <w:rFonts w:hint="eastAsia" w:ascii="仿宋" w:hAnsi="仿宋" w:eastAsia="仿宋"/>
              </w:rPr>
              <w:t>规划建设</w:t>
            </w:r>
            <w:r>
              <w:rPr>
                <w:rFonts w:ascii="仿宋" w:hAnsi="仿宋" w:eastAsia="仿宋"/>
              </w:rPr>
              <w:t>1</w:t>
            </w:r>
            <w:r>
              <w:rPr>
                <w:rFonts w:hint="eastAsia" w:ascii="仿宋" w:hAnsi="仿宋" w:eastAsia="仿宋"/>
              </w:rPr>
              <w:t>万吨/年</w:t>
            </w:r>
            <w:r>
              <w:rPr>
                <w:rFonts w:ascii="仿宋" w:hAnsi="仿宋" w:eastAsia="仿宋"/>
              </w:rPr>
              <w:t>GBL</w:t>
            </w:r>
            <w:r>
              <w:rPr>
                <w:rFonts w:hint="eastAsia" w:ascii="仿宋" w:hAnsi="仿宋" w:eastAsia="仿宋"/>
              </w:rPr>
              <w:t>项目，下游延伸发展</w:t>
            </w:r>
            <w:r>
              <w:rPr>
                <w:rFonts w:ascii="仿宋" w:hAnsi="仿宋" w:eastAsia="仿宋"/>
              </w:rPr>
              <w:t>1</w:t>
            </w:r>
            <w:r>
              <w:rPr>
                <w:rFonts w:hint="eastAsia" w:ascii="仿宋" w:hAnsi="仿宋" w:eastAsia="仿宋"/>
              </w:rPr>
              <w:t>万吨/年NMP项目。NMP是一种极性的非质子传递溶剂，具有沸点高、极性强、粘度低、溶解能力强、无腐蚀、毒性小、生物降解能力强、挥发度低、化学稳定性好与热稳定性优良等特点，在化工领域可用于芳烃萃取，乙炔、烯烃、二烯烃的纯化，聚合反应的介质和医药生产的溶剂；在电子行业可用于锂离子电池的电极辅助材料，光刻胶脱除液，LCD液晶材料生产，精密仪器及线路板的清洗。N</w:t>
            </w:r>
            <w:r>
              <w:rPr>
                <w:rFonts w:ascii="仿宋" w:hAnsi="仿宋" w:eastAsia="仿宋"/>
              </w:rPr>
              <w:t>MP</w:t>
            </w:r>
            <w:r>
              <w:rPr>
                <w:rFonts w:hint="eastAsia" w:ascii="仿宋" w:hAnsi="仿宋" w:eastAsia="仿宋"/>
              </w:rPr>
              <w:t>项目将重点培育电子级产品，为四川省快速发展的电子信息产业提供物料支持。</w:t>
            </w:r>
            <w:bookmarkEnd w:id="33"/>
            <w:bookmarkStart w:id="34" w:name="_Hlk57641083"/>
            <w:r>
              <w:rPr>
                <w:rFonts w:hint="eastAsia" w:ascii="仿宋" w:hAnsi="仿宋" w:eastAsia="仿宋"/>
              </w:rPr>
              <w:t>（3）</w:t>
            </w:r>
            <w:r>
              <w:rPr>
                <w:rFonts w:ascii="仿宋" w:hAnsi="仿宋" w:eastAsia="仿宋"/>
              </w:rPr>
              <w:t>6</w:t>
            </w:r>
            <w:r>
              <w:rPr>
                <w:rFonts w:hint="eastAsia" w:ascii="仿宋" w:hAnsi="仿宋" w:eastAsia="仿宋"/>
              </w:rPr>
              <w:t>万吨/年P</w:t>
            </w:r>
            <w:r>
              <w:rPr>
                <w:rFonts w:ascii="仿宋" w:hAnsi="仿宋" w:eastAsia="仿宋"/>
              </w:rPr>
              <w:t>BSA</w:t>
            </w:r>
            <w:r>
              <w:rPr>
                <w:rFonts w:hint="eastAsia" w:ascii="仿宋" w:hAnsi="仿宋" w:eastAsia="仿宋"/>
              </w:rPr>
              <w:t>、</w:t>
            </w:r>
            <w:r>
              <w:rPr>
                <w:rFonts w:ascii="仿宋" w:hAnsi="仿宋" w:eastAsia="仿宋"/>
              </w:rPr>
              <w:t>12</w:t>
            </w:r>
            <w:r>
              <w:rPr>
                <w:rFonts w:hint="eastAsia" w:ascii="仿宋" w:hAnsi="仿宋" w:eastAsia="仿宋"/>
              </w:rPr>
              <w:t>万吨/年P</w:t>
            </w:r>
            <w:r>
              <w:rPr>
                <w:rFonts w:ascii="仿宋" w:hAnsi="仿宋" w:eastAsia="仿宋"/>
              </w:rPr>
              <w:t>BAT</w:t>
            </w:r>
            <w:r>
              <w:rPr>
                <w:rFonts w:hint="eastAsia" w:ascii="仿宋" w:hAnsi="仿宋" w:eastAsia="仿宋"/>
              </w:rPr>
              <w:t>项目。</w:t>
            </w:r>
            <w:bookmarkEnd w:id="34"/>
            <w:bookmarkStart w:id="35" w:name="_Hlk76557904"/>
            <w:r>
              <w:rPr>
                <w:rFonts w:ascii="仿宋" w:hAnsi="仿宋" w:eastAsia="仿宋"/>
              </w:rPr>
              <w:t>PBSA</w:t>
            </w:r>
            <w:r>
              <w:rPr>
                <w:rFonts w:hint="eastAsia" w:ascii="仿宋" w:hAnsi="仿宋" w:eastAsia="仿宋"/>
              </w:rPr>
              <w:t>、</w:t>
            </w:r>
            <w:r>
              <w:rPr>
                <w:rFonts w:ascii="仿宋" w:hAnsi="仿宋" w:eastAsia="仿宋"/>
              </w:rPr>
              <w:t>PBAT是目前市场成熟度最高的可降解塑料</w:t>
            </w:r>
            <w:r>
              <w:rPr>
                <w:rFonts w:hint="eastAsia" w:ascii="仿宋" w:hAnsi="仿宋" w:eastAsia="仿宋"/>
              </w:rPr>
              <w:t>。可降解塑料旨在替代聚乙烯、聚氯乙烯、聚苯乙烯、聚丙烯等通用塑料，用于制造一次性制品，目前主要有包装膜、购物袋、一次性餐具、堆肥袋、泡沫填充、农用地膜、纸张涂层（用于纸杯和包装盒）等应用。为遏制白色污染，</w:t>
            </w:r>
            <w:r>
              <w:rPr>
                <w:rFonts w:ascii="仿宋" w:hAnsi="仿宋" w:eastAsia="仿宋"/>
              </w:rPr>
              <w:t>2020年初</w:t>
            </w:r>
            <w:r>
              <w:rPr>
                <w:rFonts w:hint="eastAsia" w:ascii="仿宋" w:hAnsi="仿宋" w:eastAsia="仿宋"/>
              </w:rPr>
              <w:t>，国家发展改革委和生态环境部联合出台了《关于进一步加强塑料污染治理的意见》（被业界称为新版“禁塑令”），明确了三个禁塑、限塑的关键时间节点。</w:t>
            </w:r>
            <w:r>
              <w:rPr>
                <w:rFonts w:ascii="仿宋" w:hAnsi="仿宋" w:eastAsia="仿宋"/>
              </w:rPr>
              <w:t>随着国内禁塑力度的加大</w:t>
            </w:r>
            <w:r>
              <w:rPr>
                <w:rFonts w:hint="eastAsia" w:ascii="仿宋" w:hAnsi="仿宋" w:eastAsia="仿宋"/>
              </w:rPr>
              <w:t>，</w:t>
            </w:r>
            <w:r>
              <w:rPr>
                <w:rFonts w:ascii="仿宋" w:hAnsi="仿宋" w:eastAsia="仿宋"/>
              </w:rPr>
              <w:t>可降解塑料将迎来带来巨大的市场需求</w:t>
            </w:r>
            <w:r>
              <w:rPr>
                <w:rFonts w:hint="eastAsia" w:ascii="仿宋" w:hAnsi="仿宋" w:eastAsia="仿宋"/>
              </w:rPr>
              <w:t>。目前西南地区暂无可降解塑料企业，泸州市应把握机遇，将可降解塑料纳入产业布局。</w:t>
            </w:r>
            <w:bookmarkEnd w:id="35"/>
            <w:r>
              <w:rPr>
                <w:rFonts w:hint="eastAsia" w:ascii="仿宋" w:hAnsi="仿宋" w:eastAsia="仿宋"/>
              </w:rPr>
              <w:t>（4）</w:t>
            </w:r>
            <w:r>
              <w:rPr>
                <w:rFonts w:ascii="仿宋" w:hAnsi="仿宋" w:eastAsia="仿宋"/>
              </w:rPr>
              <w:t>5</w:t>
            </w:r>
            <w:r>
              <w:rPr>
                <w:rFonts w:hint="eastAsia" w:ascii="仿宋" w:hAnsi="仿宋" w:eastAsia="仿宋"/>
              </w:rPr>
              <w:t>万吨/年P</w:t>
            </w:r>
            <w:r>
              <w:rPr>
                <w:rFonts w:ascii="仿宋" w:hAnsi="仿宋" w:eastAsia="仿宋"/>
              </w:rPr>
              <w:t>BT</w:t>
            </w:r>
            <w:r>
              <w:rPr>
                <w:rFonts w:hint="eastAsia" w:ascii="仿宋" w:hAnsi="仿宋" w:eastAsia="仿宋"/>
              </w:rPr>
              <w:t>项目。P</w:t>
            </w:r>
            <w:r>
              <w:rPr>
                <w:rFonts w:ascii="仿宋" w:hAnsi="仿宋" w:eastAsia="仿宋"/>
              </w:rPr>
              <w:t>BT是</w:t>
            </w:r>
            <w:r>
              <w:rPr>
                <w:rFonts w:hint="eastAsia" w:ascii="仿宋" w:hAnsi="仿宋" w:eastAsia="仿宋"/>
              </w:rPr>
              <w:t>一种热塑性聚酯工程塑料，具有强度高、耐老化、耐热和尺寸稳定性好等优点，同时还具有良好的电绝缘性和耐化学腐蚀性，主要用于电子电器、汽车、机械领域。PBT纤维弹性优良，手感柔软舒适，易着色，可用于制作</w:t>
            </w:r>
            <w:r>
              <w:rPr>
                <w:rFonts w:ascii="仿宋" w:hAnsi="仿宋" w:eastAsia="仿宋"/>
              </w:rPr>
              <w:t>高弹性纺织品</w:t>
            </w:r>
            <w:r>
              <w:rPr>
                <w:rFonts w:hint="eastAsia" w:ascii="仿宋" w:hAnsi="仿宋" w:eastAsia="仿宋"/>
              </w:rPr>
              <w:t>，</w:t>
            </w:r>
            <w:r>
              <w:rPr>
                <w:rFonts w:ascii="仿宋" w:hAnsi="仿宋" w:eastAsia="仿宋"/>
              </w:rPr>
              <w:t>也可与</w:t>
            </w:r>
            <w:r>
              <w:rPr>
                <w:rFonts w:hint="eastAsia" w:ascii="仿宋" w:hAnsi="仿宋" w:eastAsia="仿宋"/>
              </w:rPr>
              <w:t>P</w:t>
            </w:r>
            <w:r>
              <w:rPr>
                <w:rFonts w:ascii="仿宋" w:hAnsi="仿宋" w:eastAsia="仿宋"/>
              </w:rPr>
              <w:t>ET混纺用作</w:t>
            </w:r>
            <w:r>
              <w:rPr>
                <w:rFonts w:hint="eastAsia" w:ascii="仿宋" w:hAnsi="仿宋" w:eastAsia="仿宋"/>
              </w:rPr>
              <w:t>仿毛、仿羽绒原料。PBT还可用于玻璃填充，从而提高其刚度和强度。P</w:t>
            </w:r>
            <w:r>
              <w:rPr>
                <w:rFonts w:ascii="仿宋" w:hAnsi="仿宋" w:eastAsia="仿宋"/>
              </w:rPr>
              <w:t>BT聚酯及纤维属于产业结构调整指导目录中鼓励类项目</w:t>
            </w:r>
            <w:r>
              <w:rPr>
                <w:rFonts w:hint="eastAsia" w:ascii="仿宋" w:hAnsi="仿宋" w:eastAsia="仿宋"/>
              </w:rPr>
              <w:t>。规划P</w:t>
            </w:r>
            <w:r>
              <w:rPr>
                <w:rFonts w:ascii="仿宋" w:hAnsi="仿宋" w:eastAsia="仿宋"/>
              </w:rPr>
              <w:t>BT项目可为泸州市汽车零部件制造</w:t>
            </w:r>
            <w:r>
              <w:rPr>
                <w:rFonts w:hint="eastAsia" w:ascii="仿宋" w:hAnsi="仿宋" w:eastAsia="仿宋"/>
              </w:rPr>
              <w:t>、</w:t>
            </w:r>
            <w:r>
              <w:rPr>
                <w:rFonts w:ascii="仿宋" w:hAnsi="仿宋" w:eastAsia="仿宋"/>
              </w:rPr>
              <w:t>纺织</w:t>
            </w:r>
            <w:r>
              <w:rPr>
                <w:rFonts w:hint="eastAsia" w:ascii="仿宋" w:hAnsi="仿宋" w:eastAsia="仿宋"/>
              </w:rPr>
              <w:t>、玻纤制造提供基础原料。（5）</w:t>
            </w:r>
            <w:r>
              <w:rPr>
                <w:rFonts w:ascii="仿宋" w:hAnsi="仿宋" w:eastAsia="仿宋"/>
              </w:rPr>
              <w:t>2</w:t>
            </w:r>
            <w:r>
              <w:rPr>
                <w:rFonts w:hint="eastAsia" w:ascii="仿宋" w:hAnsi="仿宋" w:eastAsia="仿宋"/>
              </w:rPr>
              <w:t>万吨/年T</w:t>
            </w:r>
            <w:r>
              <w:rPr>
                <w:rFonts w:ascii="仿宋" w:hAnsi="仿宋" w:eastAsia="仿宋"/>
              </w:rPr>
              <w:t>PEE</w:t>
            </w:r>
            <w:r>
              <w:rPr>
                <w:rFonts w:hint="eastAsia" w:ascii="仿宋" w:hAnsi="仿宋" w:eastAsia="仿宋"/>
              </w:rPr>
              <w:t>项目。</w:t>
            </w:r>
            <w:r>
              <w:rPr>
                <w:rFonts w:ascii="仿宋" w:hAnsi="仿宋" w:eastAsia="仿宋"/>
              </w:rPr>
              <w:t>利用</w:t>
            </w:r>
            <w:r>
              <w:rPr>
                <w:rFonts w:hint="eastAsia" w:ascii="仿宋" w:hAnsi="仿宋" w:eastAsia="仿宋"/>
              </w:rPr>
              <w:t>P</w:t>
            </w:r>
            <w:r>
              <w:rPr>
                <w:rFonts w:ascii="仿宋" w:hAnsi="仿宋" w:eastAsia="仿宋"/>
              </w:rPr>
              <w:t>TMEG和</w:t>
            </w:r>
            <w:r>
              <w:rPr>
                <w:rFonts w:hint="eastAsia" w:ascii="仿宋" w:hAnsi="仿宋" w:eastAsia="仿宋"/>
              </w:rPr>
              <w:t>P</w:t>
            </w:r>
            <w:r>
              <w:rPr>
                <w:rFonts w:ascii="仿宋" w:hAnsi="仿宋" w:eastAsia="仿宋"/>
              </w:rPr>
              <w:t>BT规划建设热塑性弹性体</w:t>
            </w:r>
            <w:r>
              <w:rPr>
                <w:rFonts w:hint="eastAsia" w:ascii="仿宋" w:hAnsi="仿宋" w:eastAsia="仿宋"/>
              </w:rPr>
              <w:t>T</w:t>
            </w:r>
            <w:r>
              <w:rPr>
                <w:rFonts w:ascii="仿宋" w:hAnsi="仿宋" w:eastAsia="仿宋"/>
              </w:rPr>
              <w:t>PEE项目</w:t>
            </w:r>
            <w:r>
              <w:rPr>
                <w:rFonts w:hint="eastAsia" w:ascii="仿宋" w:hAnsi="仿宋" w:eastAsia="仿宋"/>
              </w:rPr>
              <w:t>。</w:t>
            </w:r>
            <w:r>
              <w:rPr>
                <w:rFonts w:ascii="仿宋" w:hAnsi="仿宋" w:eastAsia="仿宋"/>
              </w:rPr>
              <w:t>热塑性弹性体</w:t>
            </w:r>
            <w:r>
              <w:rPr>
                <w:rFonts w:hint="eastAsia" w:ascii="仿宋" w:hAnsi="仿宋" w:eastAsia="仿宋"/>
              </w:rPr>
              <w:t>是一种兼具橡胶和热塑性塑料特性，在常温显示橡胶高弹性，高温下又能塑化成型的高分子材料，是继天然橡胶、合成橡胶之后的第三代橡胶。热塑性弹性体属于化工新材料，为国家优先鼓励发展产业。TPEE是一类含有PBT聚酯硬段（结晶相）和脂肪族聚酯或聚醚（非晶相）软段的线型嵌段共聚物，俗称聚酯热塑性弹性体或聚酯橡胶。T</w:t>
            </w:r>
            <w:r>
              <w:rPr>
                <w:rFonts w:ascii="仿宋" w:hAnsi="仿宋" w:eastAsia="仿宋"/>
              </w:rPr>
              <w:t>PEE</w:t>
            </w:r>
            <w:r>
              <w:rPr>
                <w:rFonts w:hint="eastAsia" w:ascii="仿宋" w:hAnsi="仿宋" w:eastAsia="仿宋"/>
              </w:rPr>
              <w:t>具有高强度、高弹性、耐油、耐酸碱、耐高温、耐辐射、动态力学性能优等特点，在汽车配件、液压软管、电缆电线、电子电器、工业制品、文体用品、生物材料等领域得到了广泛的应用。热塑性弹性体由于性能优势和回收便利，发展前景较好，目前发达国家的TPEE生产和消费已经成熟，中国市场将成为TPEE主要消费趋动力。</w:t>
            </w:r>
          </w:p>
          <w:p>
            <w:pPr>
              <w:widowControl w:val="0"/>
              <w:adjustRightInd w:val="0"/>
              <w:snapToGrid w:val="0"/>
              <w:spacing w:line="360" w:lineRule="auto"/>
              <w:ind w:firstLine="482" w:firstLineChars="200"/>
              <w:jc w:val="both"/>
              <w:rPr>
                <w:rFonts w:ascii="仿宋" w:hAnsi="仿宋" w:eastAsia="仿宋"/>
              </w:rPr>
            </w:pPr>
            <w:r>
              <w:rPr>
                <w:rFonts w:hint="eastAsia" w:ascii="仿宋" w:hAnsi="仿宋" w:eastAsia="仿宋"/>
                <w:b/>
              </w:rPr>
              <w:t>乙炔精细化工项目。</w:t>
            </w:r>
            <w:r>
              <w:rPr>
                <w:rFonts w:ascii="仿宋" w:hAnsi="仿宋" w:eastAsia="仿宋"/>
              </w:rPr>
              <w:t>利用乙炔</w:t>
            </w:r>
            <w:r>
              <w:rPr>
                <w:rFonts w:hint="eastAsia" w:ascii="仿宋" w:hAnsi="仿宋" w:eastAsia="仿宋"/>
              </w:rPr>
              <w:t>资源，发展高附加值的精细化炔醇类产品集群，应用于食品医药、农药、香精香料、精细化工助剂、油气开采等领域。（1）</w:t>
            </w:r>
            <w:r>
              <w:rPr>
                <w:rFonts w:ascii="仿宋" w:hAnsi="仿宋" w:eastAsia="仿宋"/>
              </w:rPr>
              <w:t>1</w:t>
            </w:r>
            <w:r>
              <w:rPr>
                <w:rFonts w:hint="eastAsia" w:ascii="仿宋" w:hAnsi="仿宋" w:eastAsia="仿宋"/>
              </w:rPr>
              <w:t>万吨/年己二醇。己二醇是炔醛下游衍生物，是重要的有机合成中间体，主要用于农药除虫菊酯、香料、有机过氧化物、人造麝香、聚乙烯塑料交联剂和聚醚橡胶的生产。规划己二醇项目，可为泸州众邦制药提供合成原料，也可辐射本地及周边医药、日化品生产企业。（2）0</w:t>
            </w:r>
            <w:r>
              <w:rPr>
                <w:rFonts w:ascii="仿宋" w:hAnsi="仿宋" w:eastAsia="仿宋"/>
              </w:rPr>
              <w:t>.5</w:t>
            </w:r>
            <w:r>
              <w:rPr>
                <w:rFonts w:hint="eastAsia" w:ascii="仿宋" w:hAnsi="仿宋" w:eastAsia="仿宋"/>
              </w:rPr>
              <w:t>万吨/年甲基丁炔醇，0</w:t>
            </w:r>
            <w:r>
              <w:rPr>
                <w:rFonts w:ascii="仿宋" w:hAnsi="仿宋" w:eastAsia="仿宋"/>
              </w:rPr>
              <w:t>.1</w:t>
            </w:r>
            <w:r>
              <w:rPr>
                <w:rFonts w:hint="eastAsia" w:ascii="仿宋" w:hAnsi="仿宋" w:eastAsia="仿宋"/>
              </w:rPr>
              <w:t>万吨/年甲基戊炔醇。炔醇是重要的医药中间体、精细化工品的制造原料。炔醇的缓蚀性优良，作为酸蚀抑制剂的关键组分，被广泛应用于油气井高温酸化液和金属酸洗除锈液中。炔醇的结构特点赋予其良好的润湿性、泡性和消泡性，可用于润湿剂、消泡剂、表面活性剂的制造。甲基丁炔醇作为其他复杂醇类的前驱体，还可用于甲基丁烯醇、异戊烯醇、二甲基己炔二醇，以及芳樟醇、异植物醇的合成。（3）</w:t>
            </w:r>
            <w:r>
              <w:rPr>
                <w:rFonts w:ascii="仿宋" w:hAnsi="仿宋" w:eastAsia="仿宋"/>
              </w:rPr>
              <w:t>0.5</w:t>
            </w:r>
            <w:r>
              <w:rPr>
                <w:rFonts w:hint="eastAsia" w:ascii="仿宋" w:hAnsi="仿宋" w:eastAsia="仿宋"/>
              </w:rPr>
              <w:t>万吨/年芳樟醇。利用甲基丁炔醇，延伸发展芳樟醇。芳樟醇是最常用的香料原料，芳樟醇及其氧化物、羧酸酯被广泛应用于各种日用香精的配方之中。芳樟醇还是合成维生素A、E和K等产品的重要原料，并兼具医疗保健作用，在食品、日化品、医药等领域，芳樟醇均有较好的市场前景。</w:t>
            </w:r>
          </w:p>
          <w:p>
            <w:pPr>
              <w:widowControl w:val="0"/>
              <w:adjustRightInd w:val="0"/>
              <w:snapToGrid w:val="0"/>
              <w:spacing w:line="360" w:lineRule="auto"/>
              <w:ind w:firstLine="482" w:firstLineChars="200"/>
              <w:jc w:val="both"/>
              <w:rPr>
                <w:rFonts w:ascii="仿宋" w:hAnsi="仿宋" w:eastAsia="仿宋"/>
              </w:rPr>
            </w:pPr>
            <w:r>
              <w:rPr>
                <w:rFonts w:hint="eastAsia" w:ascii="仿宋" w:hAnsi="仿宋" w:eastAsia="仿宋"/>
                <w:b/>
              </w:rPr>
              <w:t>甲醇延伸加工项目。</w:t>
            </w:r>
            <w:r>
              <w:rPr>
                <w:rFonts w:ascii="仿宋" w:hAnsi="仿宋" w:eastAsia="仿宋"/>
              </w:rPr>
              <w:t>利用乙炔尾气</w:t>
            </w:r>
            <w:r>
              <w:rPr>
                <w:rFonts w:hint="eastAsia" w:ascii="仿宋" w:hAnsi="仿宋" w:eastAsia="仿宋"/>
              </w:rPr>
              <w:t>合成甲醇，下游发展甲醛、甲烷氯化物、聚甲醛、和1,4-环己烷二甲醇（</w:t>
            </w:r>
            <w:r>
              <w:rPr>
                <w:rFonts w:ascii="仿宋" w:hAnsi="仿宋" w:eastAsia="仿宋"/>
              </w:rPr>
              <w:t>CHDM</w:t>
            </w:r>
            <w:r>
              <w:rPr>
                <w:rFonts w:hint="eastAsia" w:ascii="仿宋" w:hAnsi="仿宋" w:eastAsia="仿宋"/>
              </w:rPr>
              <w:t>）。（1）</w:t>
            </w:r>
            <w:r>
              <w:rPr>
                <w:rFonts w:ascii="仿宋" w:hAnsi="仿宋" w:eastAsia="仿宋"/>
              </w:rPr>
              <w:t>20</w:t>
            </w:r>
            <w:r>
              <w:rPr>
                <w:rFonts w:hint="eastAsia" w:ascii="仿宋" w:hAnsi="仿宋" w:eastAsia="仿宋"/>
              </w:rPr>
              <w:t>万吨/年甲醛项目。</w:t>
            </w:r>
            <w:r>
              <w:rPr>
                <w:rFonts w:ascii="仿宋" w:hAnsi="仿宋" w:eastAsia="仿宋"/>
              </w:rPr>
              <w:t>甲醛主要用作</w:t>
            </w:r>
            <w:r>
              <w:rPr>
                <w:rFonts w:hint="eastAsia" w:ascii="仿宋" w:hAnsi="仿宋" w:eastAsia="仿宋"/>
              </w:rPr>
              <w:t>B</w:t>
            </w:r>
            <w:r>
              <w:rPr>
                <w:rFonts w:ascii="仿宋" w:hAnsi="仿宋" w:eastAsia="仿宋"/>
              </w:rPr>
              <w:t>DO</w:t>
            </w:r>
            <w:r>
              <w:rPr>
                <w:rFonts w:hint="eastAsia" w:ascii="仿宋" w:hAnsi="仿宋" w:eastAsia="仿宋"/>
              </w:rPr>
              <w:t>、聚甲醛</w:t>
            </w:r>
            <w:r>
              <w:rPr>
                <w:rFonts w:ascii="仿宋" w:hAnsi="仿宋" w:eastAsia="仿宋"/>
              </w:rPr>
              <w:t>的合成原料</w:t>
            </w:r>
            <w:r>
              <w:rPr>
                <w:rFonts w:hint="eastAsia" w:ascii="仿宋" w:hAnsi="仿宋" w:eastAsia="仿宋"/>
              </w:rPr>
              <w:t>，此外还可用于建材加工和纺织业。（2）</w:t>
            </w:r>
            <w:r>
              <w:rPr>
                <w:rFonts w:ascii="仿宋" w:hAnsi="仿宋" w:eastAsia="仿宋"/>
              </w:rPr>
              <w:t>10</w:t>
            </w:r>
            <w:r>
              <w:rPr>
                <w:rFonts w:hint="eastAsia" w:ascii="仿宋" w:hAnsi="仿宋" w:eastAsia="仿宋"/>
              </w:rPr>
              <w:t>万吨/年甲烷氯化物、6万吨/年有机硅项目。</w:t>
            </w:r>
            <w:r>
              <w:rPr>
                <w:rFonts w:ascii="仿宋" w:hAnsi="仿宋" w:eastAsia="仿宋"/>
              </w:rPr>
              <w:t>甲烷氯化物</w:t>
            </w:r>
            <w:r>
              <w:rPr>
                <w:rFonts w:hint="eastAsia" w:ascii="仿宋" w:hAnsi="仿宋" w:eastAsia="仿宋"/>
              </w:rPr>
              <w:t>是包括一氯甲烷（氯甲烷）、二氯甲烷、三氯甲烷（氯仿）、四氯化碳四种</w:t>
            </w:r>
            <w:r>
              <w:rPr>
                <w:rFonts w:ascii="仿宋" w:hAnsi="仿宋" w:eastAsia="仿宋"/>
              </w:rPr>
              <w:t>C1</w:t>
            </w:r>
            <w:r>
              <w:rPr>
                <w:rFonts w:hint="eastAsia" w:ascii="仿宋" w:hAnsi="仿宋" w:eastAsia="仿宋"/>
              </w:rPr>
              <w:t>氯烃产品的总称。除可作溶剂、脱脂（漆）剂、萃取剂、气雾剂、致冷剂、灭火剂、麻醉剂等以外，甲烷氯化物还是生产医药、农药、有机硅和有机氟系列产品的原料。基于鑫福化工搬迁入园契机，利用其氯产品规划甲烷氯化物项目，依托合盛硅业（泸州）发展有机硅产业。（3）6万吨/年聚甲醛项目。</w:t>
            </w:r>
            <w:r>
              <w:rPr>
                <w:rFonts w:ascii="仿宋" w:hAnsi="仿宋" w:eastAsia="仿宋"/>
              </w:rPr>
              <w:t>聚甲醛</w:t>
            </w:r>
            <w:r>
              <w:rPr>
                <w:rFonts w:hint="eastAsia" w:ascii="仿宋" w:hAnsi="仿宋" w:eastAsia="仿宋"/>
              </w:rPr>
              <w:t>（P</w:t>
            </w:r>
            <w:r>
              <w:rPr>
                <w:rFonts w:ascii="仿宋" w:hAnsi="仿宋" w:eastAsia="仿宋"/>
              </w:rPr>
              <w:t>O</w:t>
            </w:r>
            <w:r>
              <w:rPr>
                <w:rFonts w:hint="eastAsia" w:ascii="仿宋" w:hAnsi="仿宋" w:eastAsia="仿宋"/>
              </w:rPr>
              <w:t>M）是五大工程塑料之一，具有比重轻，抗冲击强度、动力疲劳强度高，耐磨、耐腐蚀、自润滑性和电性能优异，透气和透水蒸汽性较低等特性，其硬度接近金属，又被称为“超钢”或“赛钢”，可用于代替金属及铜、铝、锌等有色金属材料。用聚甲醛制成的齿轮、按钮、水表、阀门、泵的叶轮、喷灌器部件、拉链等制品，广泛被用于汽车工业、电子电器、工业器械、农业和消费品等领域。目前国内POM行业面临着开工率低、对外依存度高的结构性短缺问题，尤其是均聚POM和改性POM自给能力不足。国内POM企业致力于通过加强自主研发水平或技术合作，积极寻求进军高端POM市场的机会。（4）</w:t>
            </w:r>
            <w:r>
              <w:rPr>
                <w:rFonts w:ascii="仿宋" w:hAnsi="仿宋" w:eastAsia="仿宋"/>
              </w:rPr>
              <w:t>2</w:t>
            </w:r>
            <w:r>
              <w:rPr>
                <w:rFonts w:hint="eastAsia" w:ascii="仿宋" w:hAnsi="仿宋" w:eastAsia="仿宋"/>
              </w:rPr>
              <w:t>万吨/年1,4-环己烷二甲醇（</w:t>
            </w:r>
            <w:r>
              <w:rPr>
                <w:rFonts w:ascii="仿宋" w:hAnsi="仿宋" w:eastAsia="仿宋"/>
              </w:rPr>
              <w:t>CHDM</w:t>
            </w:r>
            <w:r>
              <w:rPr>
                <w:rFonts w:hint="eastAsia" w:ascii="仿宋" w:hAnsi="仿宋" w:eastAsia="仿宋"/>
              </w:rPr>
              <w:t>）项目。1,4-环己烷二甲醇（</w:t>
            </w:r>
            <w:r>
              <w:rPr>
                <w:rFonts w:ascii="仿宋" w:hAnsi="仿宋" w:eastAsia="仿宋"/>
              </w:rPr>
              <w:t>CHDM</w:t>
            </w:r>
            <w:r>
              <w:rPr>
                <w:rFonts w:hint="eastAsia" w:ascii="仿宋" w:hAnsi="仿宋" w:eastAsia="仿宋"/>
              </w:rPr>
              <w:t>）主要用于生产特种聚酯和共聚多酯，如PETG、PCT、PCTG、PCTA等，用于制造聚酯纤维、聚酯电器用具、不饱和聚酯树脂、聚酯釉料、聚氨酯泡沫塑料、高性能涂料等。C</w:t>
            </w:r>
            <w:r>
              <w:rPr>
                <w:rFonts w:ascii="仿宋" w:hAnsi="仿宋" w:eastAsia="仿宋"/>
              </w:rPr>
              <w:t>HDM</w:t>
            </w:r>
            <w:r>
              <w:rPr>
                <w:rFonts w:hint="eastAsia" w:ascii="仿宋" w:hAnsi="仿宋" w:eastAsia="仿宋"/>
              </w:rPr>
              <w:t>还可用作保湿剂和相容溶剂，用于日化个护产品。P</w:t>
            </w:r>
            <w:r>
              <w:rPr>
                <w:rFonts w:ascii="仿宋" w:hAnsi="仿宋" w:eastAsia="仿宋"/>
              </w:rPr>
              <w:t>E</w:t>
            </w:r>
            <w:r>
              <w:rPr>
                <w:rFonts w:hint="eastAsia" w:ascii="仿宋" w:hAnsi="仿宋" w:eastAsia="仿宋"/>
              </w:rPr>
              <w:t>TG和P</w:t>
            </w:r>
            <w:r>
              <w:rPr>
                <w:rFonts w:ascii="仿宋" w:hAnsi="仿宋" w:eastAsia="仿宋"/>
              </w:rPr>
              <w:t>CTG</w:t>
            </w:r>
            <w:r>
              <w:rPr>
                <w:rFonts w:hint="eastAsia" w:ascii="仿宋" w:hAnsi="仿宋" w:eastAsia="仿宋"/>
              </w:rPr>
              <w:t xml:space="preserve">（CHDM共聚改性的PET树脂）是CHDM的最大应用领域，可用于生产热成型食品包装容器、医药产品包装和涂裱艺术材料等。 </w:t>
            </w:r>
          </w:p>
          <w:p>
            <w:pPr>
              <w:widowControl w:val="0"/>
              <w:adjustRightInd w:val="0"/>
              <w:snapToGrid w:val="0"/>
              <w:spacing w:line="360" w:lineRule="auto"/>
              <w:ind w:firstLine="482" w:firstLineChars="200"/>
              <w:jc w:val="both"/>
              <w:rPr>
                <w:rFonts w:ascii="仿宋" w:hAnsi="仿宋" w:eastAsia="仿宋"/>
              </w:rPr>
            </w:pPr>
            <w:r>
              <w:rPr>
                <w:rFonts w:hint="eastAsia" w:ascii="仿宋" w:hAnsi="仿宋" w:eastAsia="仿宋"/>
                <w:b/>
              </w:rPr>
              <w:t>氯碱产业链项目。</w:t>
            </w:r>
            <w:r>
              <w:rPr>
                <w:rFonts w:hint="eastAsia" w:ascii="仿宋" w:hAnsi="仿宋" w:eastAsia="仿宋"/>
              </w:rPr>
              <w:t>（1）2万吨/年P</w:t>
            </w:r>
            <w:r>
              <w:rPr>
                <w:rFonts w:ascii="仿宋" w:hAnsi="仿宋" w:eastAsia="仿宋"/>
              </w:rPr>
              <w:t>VDC</w:t>
            </w:r>
            <w:r>
              <w:rPr>
                <w:rFonts w:hint="eastAsia" w:ascii="仿宋" w:hAnsi="仿宋" w:eastAsia="仿宋"/>
              </w:rPr>
              <w:t>项目。聚偏二氯乙烯（PVDC）是以偏二氯乙烯（VDC）单体为主要成分的共聚物，具有优异的阻氧、阻气、防潮及保味性能，在阻隔性塑料包装行业异军突起。P</w:t>
            </w:r>
            <w:r>
              <w:rPr>
                <w:rFonts w:ascii="仿宋" w:hAnsi="仿宋" w:eastAsia="仿宋"/>
              </w:rPr>
              <w:t>VDC属于产业结构调整指导目录中鼓励类项目</w:t>
            </w:r>
            <w:r>
              <w:rPr>
                <w:rFonts w:hint="eastAsia" w:ascii="仿宋" w:hAnsi="仿宋" w:eastAsia="仿宋"/>
              </w:rPr>
              <w:t>。发展P</w:t>
            </w:r>
            <w:r>
              <w:rPr>
                <w:rFonts w:ascii="仿宋" w:hAnsi="仿宋" w:eastAsia="仿宋"/>
              </w:rPr>
              <w:t>VDC</w:t>
            </w:r>
            <w:r>
              <w:rPr>
                <w:rFonts w:hint="eastAsia" w:ascii="仿宋" w:hAnsi="仿宋" w:eastAsia="仿宋"/>
              </w:rPr>
              <w:t>材料，可用于泸州及周边市场的食品、医药、化学品等包装。（2）</w:t>
            </w:r>
            <w:r>
              <w:rPr>
                <w:rFonts w:ascii="仿宋" w:hAnsi="仿宋" w:eastAsia="仿宋"/>
              </w:rPr>
              <w:t>1</w:t>
            </w:r>
            <w:r>
              <w:rPr>
                <w:rFonts w:hint="eastAsia" w:ascii="仿宋" w:hAnsi="仿宋" w:eastAsia="仿宋"/>
              </w:rPr>
              <w:t>万吨/年氯醚树脂项目。氯醚树脂是氯乙烯和乙烯基异丁基醚的共聚树脂，具有防腐性能好、稳定性好、溶解性强、混溶性好、附着性好、润湿性好、阻燃性、玻璃化温度可调等优点。自2005年全球以四氯化碳生产氯化橡胶的装置关停以来，氯醚树脂作为替代氯化橡胶的重防腐涂料用基料，以其优越的价格和环保优势得到了广泛的使用和认可。此外，氯醚树脂还可用于建筑防火涂料、船舶防污涂料、导电涂料、油墨印刷等领域。</w:t>
            </w:r>
          </w:p>
          <w:p>
            <w:pPr>
              <w:widowControl w:val="0"/>
              <w:adjustRightInd w:val="0"/>
              <w:snapToGrid w:val="0"/>
              <w:spacing w:line="360" w:lineRule="auto"/>
              <w:ind w:firstLine="482" w:firstLineChars="200"/>
              <w:jc w:val="both"/>
              <w:rPr>
                <w:rFonts w:ascii="仿宋" w:hAnsi="仿宋" w:eastAsia="仿宋" w:cstheme="minorBidi"/>
                <w:sz w:val="30"/>
                <w:szCs w:val="30"/>
              </w:rPr>
            </w:pPr>
            <w:r>
              <w:rPr>
                <w:rFonts w:hint="eastAsia" w:ascii="仿宋" w:hAnsi="仿宋" w:eastAsia="仿宋"/>
                <w:b/>
              </w:rPr>
              <w:t>尼龙产业链项目。</w:t>
            </w:r>
            <w:r>
              <w:rPr>
                <w:rFonts w:hint="eastAsia" w:ascii="仿宋" w:hAnsi="仿宋" w:eastAsia="仿宋"/>
              </w:rPr>
              <w:t>（1）</w:t>
            </w:r>
            <w:r>
              <w:rPr>
                <w:rFonts w:ascii="仿宋" w:hAnsi="仿宋" w:eastAsia="仿宋"/>
              </w:rPr>
              <w:t>20</w:t>
            </w:r>
            <w:r>
              <w:rPr>
                <w:rFonts w:hint="eastAsia" w:ascii="仿宋" w:hAnsi="仿宋" w:eastAsia="仿宋"/>
              </w:rPr>
              <w:t>万吨/年尼龙6</w:t>
            </w:r>
            <w:r>
              <w:rPr>
                <w:rFonts w:ascii="仿宋" w:hAnsi="仿宋" w:eastAsia="仿宋"/>
              </w:rPr>
              <w:t>6</w:t>
            </w:r>
            <w:r>
              <w:rPr>
                <w:rFonts w:hint="eastAsia" w:ascii="仿宋" w:hAnsi="仿宋" w:eastAsia="仿宋"/>
              </w:rPr>
              <w:t>项目。尼龙66切片的主要产品类型有纤维级切片和工程塑料级切片。我国尼龙6</w:t>
            </w:r>
            <w:r>
              <w:rPr>
                <w:rFonts w:ascii="仿宋" w:hAnsi="仿宋" w:eastAsia="仿宋"/>
              </w:rPr>
              <w:t>6应用</w:t>
            </w:r>
            <w:r>
              <w:rPr>
                <w:rFonts w:hint="eastAsia" w:ascii="仿宋" w:hAnsi="仿宋" w:eastAsia="仿宋"/>
              </w:rPr>
              <w:t>以工程塑料为主，主要应用于机械、电子电器、汽车等领域，尤其与其他工程塑料、橡胶产品进行共混改性后的塑料合金，以及用于无机晶须、碳纤维增强等尼龙产品最受市场青睐。尼龙6</w:t>
            </w:r>
            <w:r>
              <w:rPr>
                <w:rFonts w:ascii="仿宋" w:hAnsi="仿宋" w:eastAsia="仿宋"/>
              </w:rPr>
              <w:t>6纤维</w:t>
            </w:r>
            <w:r>
              <w:rPr>
                <w:rFonts w:hint="eastAsia" w:ascii="仿宋" w:hAnsi="仿宋" w:eastAsia="仿宋"/>
              </w:rPr>
              <w:t>具有极高的强度，较好的弹性，优异的耐磨、耐侯、耐污性，适用于户外产品、箱包、工业地毯、轮胎帘子布等产品。长期以来，由于我国尼龙6</w:t>
            </w:r>
            <w:r>
              <w:rPr>
                <w:rFonts w:ascii="仿宋" w:hAnsi="仿宋" w:eastAsia="仿宋"/>
              </w:rPr>
              <w:t>6的核心</w:t>
            </w:r>
            <w:r>
              <w:rPr>
                <w:rFonts w:hint="eastAsia" w:ascii="仿宋" w:hAnsi="仿宋" w:eastAsia="仿宋"/>
              </w:rPr>
              <w:t>原料己二腈全部依赖进口，导致国内尼龙66装置开工率较低，对外依存度达4</w:t>
            </w:r>
            <w:r>
              <w:rPr>
                <w:rFonts w:ascii="仿宋" w:hAnsi="仿宋" w:eastAsia="仿宋"/>
              </w:rPr>
              <w:t>0</w:t>
            </w:r>
            <w:r>
              <w:rPr>
                <w:rFonts w:hint="eastAsia" w:ascii="仿宋" w:hAnsi="仿宋" w:eastAsia="仿宋"/>
              </w:rPr>
              <w:t>%-</w:t>
            </w:r>
            <w:r>
              <w:rPr>
                <w:rFonts w:ascii="仿宋" w:hAnsi="仿宋" w:eastAsia="仿宋"/>
              </w:rPr>
              <w:t>60</w:t>
            </w:r>
            <w:r>
              <w:rPr>
                <w:rFonts w:hint="eastAsia" w:ascii="仿宋" w:hAnsi="仿宋" w:eastAsia="仿宋"/>
              </w:rPr>
              <w:t>%，制约了尼龙66的发展应用。国内企业针对己二腈合成开展了长期的探索，目前已取得了一定的成果，有望促进国产尼龙快速发展。目前，泸州市合成氨主要被用于尿素、氮肥领域，产品附加值较低，行业竞争压力大。布局尼龙6</w:t>
            </w:r>
            <w:r>
              <w:rPr>
                <w:rFonts w:ascii="仿宋" w:hAnsi="仿宋" w:eastAsia="仿宋"/>
              </w:rPr>
              <w:t>6全产业链</w:t>
            </w:r>
            <w:r>
              <w:rPr>
                <w:rFonts w:hint="eastAsia" w:ascii="仿宋" w:hAnsi="仿宋" w:eastAsia="仿宋"/>
              </w:rPr>
              <w:t>可</w:t>
            </w:r>
            <w:r>
              <w:rPr>
                <w:rFonts w:ascii="仿宋" w:hAnsi="仿宋" w:eastAsia="仿宋"/>
              </w:rPr>
              <w:t>提高</w:t>
            </w:r>
            <w:r>
              <w:rPr>
                <w:rFonts w:hint="eastAsia" w:ascii="仿宋" w:hAnsi="仿宋" w:eastAsia="仿宋"/>
              </w:rPr>
              <w:t>单位页岩气创造的产业产值。</w:t>
            </w:r>
            <w:r>
              <w:rPr>
                <w:rFonts w:ascii="仿宋" w:hAnsi="仿宋" w:eastAsia="仿宋"/>
              </w:rPr>
              <w:t>利用本地页岩气资源生产合成氨</w:t>
            </w:r>
            <w:r>
              <w:rPr>
                <w:rFonts w:hint="eastAsia" w:ascii="仿宋" w:hAnsi="仿宋" w:eastAsia="仿宋"/>
              </w:rPr>
              <w:t>，</w:t>
            </w:r>
            <w:r>
              <w:rPr>
                <w:rFonts w:ascii="仿宋" w:hAnsi="仿宋" w:eastAsia="仿宋"/>
              </w:rPr>
              <w:t>通过外采丙烯</w:t>
            </w:r>
            <w:r>
              <w:rPr>
                <w:rFonts w:hint="eastAsia" w:ascii="仿宋" w:hAnsi="仿宋" w:eastAsia="仿宋"/>
              </w:rPr>
              <w:t>、</w:t>
            </w:r>
            <w:r>
              <w:rPr>
                <w:rFonts w:ascii="仿宋" w:hAnsi="仿宋" w:eastAsia="仿宋"/>
              </w:rPr>
              <w:t>苯等原料</w:t>
            </w:r>
            <w:r>
              <w:rPr>
                <w:rFonts w:hint="eastAsia" w:ascii="仿宋" w:hAnsi="仿宋" w:eastAsia="仿宋"/>
              </w:rPr>
              <w:t>，规划建设2</w:t>
            </w:r>
            <w:r>
              <w:rPr>
                <w:rFonts w:ascii="仿宋" w:hAnsi="仿宋" w:eastAsia="仿宋"/>
              </w:rPr>
              <w:t>0万吨</w:t>
            </w:r>
            <w:r>
              <w:rPr>
                <w:rFonts w:hint="eastAsia" w:ascii="仿宋" w:hAnsi="仿宋" w:eastAsia="仿宋"/>
              </w:rPr>
              <w:t>/年己二酸装置、1</w:t>
            </w:r>
            <w:r>
              <w:rPr>
                <w:rFonts w:ascii="仿宋" w:hAnsi="仿宋" w:eastAsia="仿宋"/>
              </w:rPr>
              <w:t>3万吨</w:t>
            </w:r>
            <w:r>
              <w:rPr>
                <w:rFonts w:hint="eastAsia" w:ascii="仿宋" w:hAnsi="仿宋" w:eastAsia="仿宋"/>
              </w:rPr>
              <w:t>/年丙烯腈、1</w:t>
            </w:r>
            <w:r>
              <w:rPr>
                <w:rFonts w:ascii="仿宋" w:hAnsi="仿宋" w:eastAsia="仿宋"/>
              </w:rPr>
              <w:t>0万吨</w:t>
            </w:r>
            <w:r>
              <w:rPr>
                <w:rFonts w:hint="eastAsia" w:ascii="仿宋" w:hAnsi="仿宋" w:eastAsia="仿宋"/>
              </w:rPr>
              <w:t>/年</w:t>
            </w:r>
            <w:r>
              <w:rPr>
                <w:rFonts w:ascii="仿宋" w:hAnsi="仿宋" w:eastAsia="仿宋"/>
              </w:rPr>
              <w:t>己二腈</w:t>
            </w:r>
            <w:r>
              <w:rPr>
                <w:rFonts w:hint="eastAsia" w:ascii="仿宋" w:hAnsi="仿宋" w:eastAsia="仿宋"/>
              </w:rPr>
              <w:t>、1</w:t>
            </w:r>
            <w:r>
              <w:rPr>
                <w:rFonts w:ascii="仿宋" w:hAnsi="仿宋" w:eastAsia="仿宋"/>
              </w:rPr>
              <w:t>0万吨</w:t>
            </w:r>
            <w:r>
              <w:rPr>
                <w:rFonts w:hint="eastAsia" w:ascii="仿宋" w:hAnsi="仿宋" w:eastAsia="仿宋"/>
              </w:rPr>
              <w:t>/年</w:t>
            </w:r>
            <w:r>
              <w:rPr>
                <w:rFonts w:ascii="仿宋" w:hAnsi="仿宋" w:eastAsia="仿宋"/>
              </w:rPr>
              <w:t>己二胺</w:t>
            </w:r>
            <w:r>
              <w:rPr>
                <w:rFonts w:hint="eastAsia" w:ascii="仿宋" w:hAnsi="仿宋" w:eastAsia="仿宋"/>
              </w:rPr>
              <w:t>装置、2</w:t>
            </w:r>
            <w:r>
              <w:rPr>
                <w:rFonts w:ascii="仿宋" w:hAnsi="仿宋" w:eastAsia="仿宋"/>
              </w:rPr>
              <w:t>0万吨</w:t>
            </w:r>
            <w:r>
              <w:rPr>
                <w:rFonts w:hint="eastAsia" w:ascii="仿宋" w:hAnsi="仿宋" w:eastAsia="仿宋"/>
              </w:rPr>
              <w:t>/</w:t>
            </w:r>
            <w:r>
              <w:rPr>
                <w:rFonts w:ascii="仿宋" w:hAnsi="仿宋" w:eastAsia="仿宋"/>
              </w:rPr>
              <w:t>年尼龙</w:t>
            </w:r>
            <w:r>
              <w:rPr>
                <w:rFonts w:hint="eastAsia" w:ascii="仿宋" w:hAnsi="仿宋" w:eastAsia="仿宋"/>
              </w:rPr>
              <w:t>6</w:t>
            </w:r>
            <w:r>
              <w:rPr>
                <w:rFonts w:ascii="仿宋" w:hAnsi="仿宋" w:eastAsia="仿宋"/>
              </w:rPr>
              <w:t>6项目</w:t>
            </w:r>
            <w:r>
              <w:rPr>
                <w:rFonts w:hint="eastAsia" w:ascii="仿宋" w:hAnsi="仿宋" w:eastAsia="仿宋"/>
              </w:rPr>
              <w:t>，生产尼龙66纤维（锦纶）和尼龙工程塑料产品。生产的尼龙66纤维可用于恒力（泸州）产业园生产专用纺织品，尼龙工程塑料可经过改性处理用于汽车零配件、机械零件制造。（2）</w:t>
            </w:r>
            <w:r>
              <w:rPr>
                <w:rFonts w:ascii="仿宋" w:hAnsi="仿宋" w:eastAsia="仿宋"/>
              </w:rPr>
              <w:t>2</w:t>
            </w:r>
            <w:r>
              <w:rPr>
                <w:rFonts w:hint="eastAsia" w:ascii="仿宋" w:hAnsi="仿宋" w:eastAsia="仿宋"/>
              </w:rPr>
              <w:t>万吨/年聚丙烯酰胺</w:t>
            </w:r>
            <w:r>
              <w:rPr>
                <w:rFonts w:ascii="仿宋" w:hAnsi="仿宋" w:eastAsia="仿宋"/>
              </w:rPr>
              <w:t>PAM</w:t>
            </w:r>
            <w:r>
              <w:rPr>
                <w:rFonts w:hint="eastAsia" w:ascii="仿宋" w:hAnsi="仿宋" w:eastAsia="仿宋"/>
              </w:rPr>
              <w:t>项目。聚丙烯酰胺P</w:t>
            </w:r>
            <w:r>
              <w:rPr>
                <w:rFonts w:ascii="仿宋" w:hAnsi="仿宋" w:eastAsia="仿宋"/>
              </w:rPr>
              <w:t>AM</w:t>
            </w:r>
            <w:r>
              <w:rPr>
                <w:rFonts w:hint="eastAsia" w:ascii="仿宋" w:hAnsi="仿宋" w:eastAsia="仿宋"/>
              </w:rPr>
              <w:t>是一类重要的水溶性高分子聚合物，具备增稠、分散、粘附、絮凝、凝胶、流变控制、高吸水性、增强、成膜等应用性能。因此，聚丙烯酰胺被称作“百业助剂”，可广泛应用于制浆造纸、水处理、油气开采、矿物洗选、纺织、日化、医药、农业等各行各业。</w:t>
            </w:r>
          </w:p>
        </w:tc>
      </w:tr>
    </w:tbl>
    <w:p>
      <w:pPr>
        <w:ind w:firstLine="560"/>
        <w:jc w:val="center"/>
        <w:rPr>
          <w:rFonts w:ascii="方正黑体简体" w:eastAsia="方正黑体简体"/>
          <w:lang w:val="zh-TW" w:bidi="zh-TW"/>
        </w:rPr>
      </w:pP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154"/>
              <w:adjustRightInd w:val="0"/>
              <w:snapToGrid w:val="0"/>
              <w:spacing w:beforeLines="50" w:line="360" w:lineRule="auto"/>
              <w:jc w:val="center"/>
              <w:outlineLvl w:val="2"/>
              <w:rPr>
                <w:rFonts w:ascii="黑体" w:hAnsi="黑体" w:eastAsia="黑体" w:cstheme="minorBidi"/>
                <w:sz w:val="28"/>
                <w:szCs w:val="28"/>
              </w:rPr>
            </w:pPr>
            <w:r>
              <w:rPr>
                <w:rFonts w:hint="eastAsia" w:ascii="黑体" w:hAnsi="黑体" w:eastAsia="黑体" w:cstheme="minorBidi"/>
                <w:sz w:val="28"/>
                <w:szCs w:val="28"/>
              </w:rPr>
              <w:t>专栏4-2原料药中间体重点规划项目</w:t>
            </w:r>
          </w:p>
          <w:p>
            <w:pPr>
              <w:widowControl w:val="0"/>
              <w:adjustRightInd w:val="0"/>
              <w:snapToGrid w:val="0"/>
              <w:spacing w:line="360" w:lineRule="auto"/>
              <w:ind w:firstLine="480" w:firstLineChars="200"/>
              <w:jc w:val="both"/>
              <w:rPr>
                <w:rFonts w:ascii="方正黑体简体" w:eastAsia="方正黑体简体"/>
                <w:lang w:val="zh-TW" w:bidi="zh-TW"/>
              </w:rPr>
            </w:pPr>
            <w:r>
              <w:rPr>
                <w:rFonts w:hint="eastAsia" w:ascii="仿宋" w:hAnsi="仿宋" w:eastAsia="仿宋"/>
              </w:rPr>
              <w:t>众邦三期0.5万吨</w:t>
            </w:r>
            <w:r>
              <w:rPr>
                <w:rFonts w:ascii="仿宋" w:hAnsi="仿宋" w:eastAsia="仿宋"/>
              </w:rPr>
              <w:t>降冰片二烯</w:t>
            </w:r>
            <w:r>
              <w:rPr>
                <w:rFonts w:hint="eastAsia" w:ascii="仿宋" w:hAnsi="仿宋" w:eastAsia="仿宋"/>
              </w:rPr>
              <w:t>原料药项目；众邦三期0.15万吨左磷石胺盐原料药项目；奇格曼奥利司他120吨医药中间体项目；白泉药业100吨奥美拉唑医药中间体项目；枸橼酸坦度螺酮项目；丙戊酸钠原料药项目；盐酸替扎尼定片原料药项目。</w:t>
            </w:r>
          </w:p>
        </w:tc>
      </w:tr>
    </w:tbl>
    <w:p>
      <w:pPr>
        <w:ind w:firstLine="560"/>
        <w:jc w:val="center"/>
        <w:rPr>
          <w:rFonts w:ascii="方正黑体简体" w:eastAsia="方正黑体简体"/>
          <w:lang w:val="zh-TW" w:bidi="zh-TW"/>
        </w:rPr>
      </w:pP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154"/>
              <w:adjustRightInd w:val="0"/>
              <w:snapToGrid w:val="0"/>
              <w:spacing w:beforeLines="50" w:line="360" w:lineRule="auto"/>
              <w:jc w:val="center"/>
              <w:outlineLvl w:val="2"/>
              <w:rPr>
                <w:rFonts w:ascii="黑体" w:hAnsi="黑体" w:eastAsia="黑体" w:cstheme="minorBidi"/>
                <w:sz w:val="28"/>
                <w:szCs w:val="28"/>
              </w:rPr>
            </w:pPr>
            <w:r>
              <w:rPr>
                <w:rFonts w:hint="eastAsia" w:ascii="黑体" w:hAnsi="黑体" w:eastAsia="黑体" w:cstheme="minorBidi"/>
                <w:sz w:val="28"/>
                <w:szCs w:val="28"/>
              </w:rPr>
              <w:t>专栏4-3  精细化工产业重点规划项目</w:t>
            </w:r>
          </w:p>
          <w:p>
            <w:pPr>
              <w:widowControl w:val="0"/>
              <w:adjustRightInd w:val="0"/>
              <w:snapToGrid w:val="0"/>
              <w:spacing w:line="360" w:lineRule="auto"/>
              <w:ind w:firstLine="480" w:firstLineChars="200"/>
              <w:jc w:val="both"/>
            </w:pPr>
            <w:r>
              <w:rPr>
                <w:rFonts w:hint="eastAsia" w:ascii="仿宋" w:hAnsi="仿宋" w:eastAsia="仿宋"/>
              </w:rPr>
              <w:t>（1）</w:t>
            </w:r>
            <w:r>
              <w:rPr>
                <w:rFonts w:ascii="仿宋" w:hAnsi="仿宋" w:eastAsia="仿宋"/>
              </w:rPr>
              <w:t>5</w:t>
            </w:r>
            <w:r>
              <w:rPr>
                <w:rFonts w:hint="eastAsia" w:ascii="仿宋" w:hAnsi="仿宋" w:eastAsia="仿宋"/>
              </w:rPr>
              <w:t>万吨/年丁二酸项目。依托本地生物质资源，规划发展丁二酸项目。丁二酸，又名琥珀酸，是一种重要的有机化工原料及中间体，广泛被应用于可降解塑料、橡胶、染料、香料、涂料、医药、农药和食品等工业中。</w:t>
            </w:r>
            <w:r>
              <w:rPr>
                <w:rFonts w:ascii="仿宋" w:hAnsi="仿宋" w:eastAsia="仿宋"/>
              </w:rPr>
              <w:t>随着我国对环保可降解产品的鼓励引导</w:t>
            </w:r>
            <w:r>
              <w:rPr>
                <w:rFonts w:hint="eastAsia" w:ascii="仿宋" w:hAnsi="仿宋" w:eastAsia="仿宋"/>
              </w:rPr>
              <w:t>，P</w:t>
            </w:r>
            <w:r>
              <w:rPr>
                <w:rFonts w:ascii="仿宋" w:hAnsi="仿宋" w:eastAsia="仿宋"/>
              </w:rPr>
              <w:t>BS</w:t>
            </w:r>
            <w:r>
              <w:rPr>
                <w:rFonts w:hint="eastAsia" w:ascii="仿宋" w:hAnsi="仿宋" w:eastAsia="仿宋"/>
              </w:rPr>
              <w:t>、P</w:t>
            </w:r>
            <w:r>
              <w:rPr>
                <w:rFonts w:ascii="仿宋" w:hAnsi="仿宋" w:eastAsia="仿宋"/>
              </w:rPr>
              <w:t>BSA可降解塑料的投资热情高涨</w:t>
            </w:r>
            <w:r>
              <w:rPr>
                <w:rFonts w:hint="eastAsia" w:ascii="仿宋" w:hAnsi="仿宋" w:eastAsia="仿宋"/>
              </w:rPr>
              <w:t>。丁二酸作为P</w:t>
            </w:r>
            <w:r>
              <w:rPr>
                <w:rFonts w:ascii="仿宋" w:hAnsi="仿宋" w:eastAsia="仿宋"/>
              </w:rPr>
              <w:t>BS</w:t>
            </w:r>
            <w:r>
              <w:rPr>
                <w:rFonts w:hint="eastAsia" w:ascii="仿宋" w:hAnsi="仿宋" w:eastAsia="仿宋"/>
              </w:rPr>
              <w:t>与P</w:t>
            </w:r>
            <w:r>
              <w:rPr>
                <w:rFonts w:ascii="仿宋" w:hAnsi="仿宋" w:eastAsia="仿宋"/>
              </w:rPr>
              <w:t>BSA的主要原料</w:t>
            </w:r>
            <w:r>
              <w:rPr>
                <w:rFonts w:hint="eastAsia" w:ascii="仿宋" w:hAnsi="仿宋" w:eastAsia="仿宋"/>
              </w:rPr>
              <w:t>，</w:t>
            </w:r>
            <w:r>
              <w:rPr>
                <w:rFonts w:ascii="仿宋" w:hAnsi="仿宋" w:eastAsia="仿宋"/>
              </w:rPr>
              <w:t>面临着巨大的市场机遇</w:t>
            </w:r>
            <w:r>
              <w:rPr>
                <w:rFonts w:hint="eastAsia" w:ascii="仿宋" w:hAnsi="仿宋" w:eastAsia="仿宋"/>
              </w:rPr>
              <w:t>。（2）1</w:t>
            </w:r>
            <w:r>
              <w:rPr>
                <w:rFonts w:ascii="仿宋" w:hAnsi="仿宋" w:eastAsia="仿宋"/>
              </w:rPr>
              <w:t>.5万吨</w:t>
            </w:r>
            <w:r>
              <w:rPr>
                <w:rFonts w:hint="eastAsia" w:ascii="仿宋" w:hAnsi="仿宋" w:eastAsia="仿宋"/>
              </w:rPr>
              <w:t>/年1,3-丙二醇项目。依托本地甘油资源，规划发展1,3-丙二醇项目。1,3-丙二醇简称PDO，是一种无色、无臭、具有咸味、吸湿性的黏稠液体，可利用甘油通过生物发酵生产。PDO是一种重要的新型有机原料，具有较高的附加值，主要用于生产聚对苯二甲酸丙二醇酯（P</w:t>
            </w:r>
            <w:r>
              <w:rPr>
                <w:rFonts w:ascii="仿宋" w:hAnsi="仿宋" w:eastAsia="仿宋"/>
              </w:rPr>
              <w:t>TT</w:t>
            </w:r>
            <w:r>
              <w:rPr>
                <w:rFonts w:hint="eastAsia" w:ascii="仿宋" w:hAnsi="仿宋" w:eastAsia="仿宋"/>
              </w:rPr>
              <w:t>）、聚氨酯、共聚聚酯等材料，还可以用作涂料和护肤品的溶剂载体。</w:t>
            </w:r>
          </w:p>
        </w:tc>
      </w:tr>
    </w:tbl>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154"/>
              <w:adjustRightInd w:val="0"/>
              <w:snapToGrid w:val="0"/>
              <w:spacing w:beforeLines="50" w:line="360" w:lineRule="auto"/>
              <w:jc w:val="center"/>
              <w:outlineLvl w:val="2"/>
              <w:rPr>
                <w:rFonts w:ascii="黑体" w:hAnsi="黑体" w:eastAsia="黑体" w:cstheme="minorBidi"/>
                <w:sz w:val="28"/>
                <w:szCs w:val="28"/>
              </w:rPr>
            </w:pPr>
            <w:r>
              <w:rPr>
                <w:rFonts w:hint="eastAsia" w:ascii="黑体" w:hAnsi="黑体" w:eastAsia="黑体" w:cstheme="minorBidi"/>
                <w:sz w:val="28"/>
                <w:szCs w:val="28"/>
              </w:rPr>
              <w:t>专栏4-4  绿色化工目标招引企业</w:t>
            </w:r>
          </w:p>
          <w:p>
            <w:pPr>
              <w:widowControl w:val="0"/>
              <w:adjustRightInd w:val="0"/>
              <w:snapToGrid w:val="0"/>
              <w:spacing w:line="360" w:lineRule="auto"/>
              <w:ind w:firstLine="482" w:firstLineChars="200"/>
              <w:jc w:val="both"/>
              <w:rPr>
                <w:rFonts w:ascii="仿宋" w:hAnsi="仿宋" w:eastAsia="仿宋"/>
              </w:rPr>
            </w:pPr>
            <w:r>
              <w:rPr>
                <w:rFonts w:hint="eastAsia" w:ascii="仿宋" w:hAnsi="仿宋" w:eastAsia="仿宋"/>
                <w:b/>
              </w:rPr>
              <w:t>页岩气综合利用：</w:t>
            </w:r>
            <w:r>
              <w:rPr>
                <w:rFonts w:hint="eastAsia" w:ascii="仿宋" w:hAnsi="仿宋" w:eastAsia="仿宋"/>
              </w:rPr>
              <w:t>中石油、中石化、四川能投、万华化学、中国化学、华鲁恒升等国内知名化工企业。</w:t>
            </w:r>
          </w:p>
          <w:p>
            <w:pPr>
              <w:widowControl w:val="0"/>
              <w:adjustRightInd w:val="0"/>
              <w:snapToGrid w:val="0"/>
              <w:spacing w:line="360" w:lineRule="auto"/>
              <w:ind w:firstLine="482" w:firstLineChars="200"/>
              <w:jc w:val="both"/>
              <w:rPr>
                <w:rFonts w:ascii="仿宋" w:hAnsi="仿宋" w:eastAsia="仿宋"/>
              </w:rPr>
            </w:pPr>
            <w:r>
              <w:rPr>
                <w:rFonts w:hint="eastAsia" w:ascii="仿宋" w:hAnsi="仿宋" w:eastAsia="仿宋"/>
                <w:b/>
              </w:rPr>
              <w:t>医药中间体:</w:t>
            </w:r>
            <w:r>
              <w:rPr>
                <w:rFonts w:hint="eastAsia" w:ascii="仿宋" w:hAnsi="仿宋" w:eastAsia="仿宋"/>
              </w:rPr>
              <w:t xml:space="preserve"> 普洛药业（金刚烷）、</w:t>
            </w:r>
            <w:r>
              <w:rPr>
                <w:rFonts w:ascii="仿宋" w:hAnsi="仿宋" w:eastAsia="仿宋"/>
              </w:rPr>
              <w:t>天宇股份</w:t>
            </w:r>
            <w:r>
              <w:rPr>
                <w:rFonts w:hint="eastAsia" w:ascii="仿宋" w:hAnsi="仿宋" w:eastAsia="仿宋"/>
              </w:rPr>
              <w:t>（</w:t>
            </w:r>
            <w:r>
              <w:rPr>
                <w:rFonts w:ascii="仿宋" w:hAnsi="仿宋" w:eastAsia="仿宋"/>
              </w:rPr>
              <w:t>沙坦类</w:t>
            </w:r>
            <w:r>
              <w:rPr>
                <w:rFonts w:hint="eastAsia" w:ascii="仿宋" w:hAnsi="仿宋" w:eastAsia="仿宋"/>
              </w:rPr>
              <w:t>）、海正药业、碧生源（奥利司他）以及浙江医药、现代制药、美诺华等国内知名医药中间体企业。</w:t>
            </w:r>
          </w:p>
          <w:p>
            <w:pPr>
              <w:widowControl w:val="0"/>
              <w:adjustRightInd w:val="0"/>
              <w:snapToGrid w:val="0"/>
              <w:spacing w:line="360" w:lineRule="auto"/>
              <w:ind w:firstLine="482" w:firstLineChars="200"/>
              <w:jc w:val="both"/>
            </w:pPr>
            <w:r>
              <w:rPr>
                <w:rFonts w:hint="eastAsia" w:ascii="仿宋" w:hAnsi="仿宋" w:eastAsia="仿宋"/>
                <w:b/>
              </w:rPr>
              <w:t>精细化工：</w:t>
            </w:r>
            <w:r>
              <w:rPr>
                <w:rFonts w:hint="eastAsia" w:ascii="仿宋" w:hAnsi="仿宋" w:eastAsia="仿宋"/>
              </w:rPr>
              <w:t>金发科技、华锦股份、美联新材、</w:t>
            </w:r>
            <w:r>
              <w:rPr>
                <w:rFonts w:ascii="仿宋" w:hAnsi="仿宋" w:eastAsia="仿宋"/>
              </w:rPr>
              <w:t>齐翔腾达</w:t>
            </w:r>
            <w:r>
              <w:rPr>
                <w:rFonts w:hint="eastAsia" w:ascii="仿宋" w:hAnsi="仿宋" w:eastAsia="仿宋"/>
              </w:rPr>
              <w:t>、</w:t>
            </w:r>
            <w:r>
              <w:rPr>
                <w:rFonts w:ascii="仿宋" w:hAnsi="仿宋" w:eastAsia="仿宋"/>
              </w:rPr>
              <w:t>回天新材</w:t>
            </w:r>
            <w:r>
              <w:rPr>
                <w:rFonts w:hint="eastAsia" w:ascii="仿宋" w:hAnsi="仿宋" w:eastAsia="仿宋"/>
              </w:rPr>
              <w:t>、</w:t>
            </w:r>
            <w:r>
              <w:rPr>
                <w:rFonts w:ascii="仿宋" w:hAnsi="仿宋" w:eastAsia="仿宋"/>
              </w:rPr>
              <w:t>联化科技</w:t>
            </w:r>
            <w:r>
              <w:rPr>
                <w:rFonts w:hint="eastAsia" w:ascii="仿宋" w:hAnsi="仿宋" w:eastAsia="仿宋"/>
              </w:rPr>
              <w:t>、</w:t>
            </w:r>
            <w:r>
              <w:rPr>
                <w:rFonts w:ascii="仿宋" w:hAnsi="仿宋" w:eastAsia="仿宋"/>
              </w:rPr>
              <w:t>天赐材料</w:t>
            </w:r>
            <w:r>
              <w:rPr>
                <w:rFonts w:hint="eastAsia" w:ascii="仿宋" w:hAnsi="仿宋" w:eastAsia="仿宋"/>
              </w:rPr>
              <w:t>等国内知名精细化工企业。</w:t>
            </w:r>
          </w:p>
        </w:tc>
      </w:tr>
    </w:tbl>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36" w:name="_Toc91676437"/>
      <w:r>
        <w:rPr>
          <w:rFonts w:hint="eastAsia" w:ascii="黑体" w:hAnsi="黑体" w:eastAsia="黑体" w:cs="Times New Roman"/>
          <w:bCs w:val="0"/>
          <w:color w:val="000000"/>
        </w:rPr>
        <w:t xml:space="preserve">第二节 </w:t>
      </w:r>
      <w:r>
        <w:rPr>
          <w:rFonts w:ascii="黑体" w:hAnsi="黑体" w:eastAsia="黑体" w:cs="Times New Roman"/>
          <w:bCs w:val="0"/>
          <w:color w:val="000000"/>
        </w:rPr>
        <w:t xml:space="preserve"> </w:t>
      </w:r>
      <w:r>
        <w:rPr>
          <w:rFonts w:hint="eastAsia" w:ascii="黑体" w:hAnsi="黑体" w:eastAsia="黑体" w:cs="Times New Roman"/>
          <w:bCs w:val="0"/>
          <w:color w:val="000000"/>
        </w:rPr>
        <w:t>提质增效酿酒产业</w:t>
      </w:r>
      <w:bookmarkEnd w:id="36"/>
    </w:p>
    <w:p>
      <w:pPr>
        <w:adjustRightInd w:val="0"/>
        <w:snapToGrid w:val="0"/>
        <w:spacing w:line="360" w:lineRule="auto"/>
        <w:rPr>
          <w:rFonts w:ascii="黑体" w:hAnsi="黑体" w:eastAsia="黑体"/>
          <w:sz w:val="32"/>
          <w:szCs w:val="32"/>
        </w:rPr>
      </w:pPr>
      <w:r>
        <w:rPr>
          <w:rFonts w:hint="eastAsia" w:ascii="黑体" w:hAnsi="黑体" w:eastAsia="黑体"/>
          <w:sz w:val="32"/>
          <w:szCs w:val="32"/>
        </w:rPr>
        <w:t>一、发展基础</w:t>
      </w:r>
    </w:p>
    <w:p>
      <w:pPr>
        <w:shd w:val="clear" w:color="auto" w:fill="FFFFFF"/>
        <w:adjustRightInd w:val="0"/>
        <w:snapToGrid w:val="0"/>
        <w:spacing w:line="360" w:lineRule="auto"/>
        <w:ind w:firstLine="602" w:firstLineChars="200"/>
        <w:rPr>
          <w:rFonts w:ascii="仿宋" w:hAnsi="仿宋" w:eastAsia="仿宋"/>
          <w:sz w:val="30"/>
          <w:szCs w:val="30"/>
        </w:rPr>
      </w:pPr>
      <w:r>
        <w:rPr>
          <w:rFonts w:hint="eastAsia" w:ascii="仿宋" w:hAnsi="仿宋" w:eastAsia="仿宋"/>
          <w:b/>
          <w:sz w:val="30"/>
          <w:szCs w:val="30"/>
        </w:rPr>
        <w:t>独特的资源禀赋。</w:t>
      </w:r>
      <w:r>
        <w:rPr>
          <w:rFonts w:hint="eastAsia" w:ascii="仿宋" w:hAnsi="仿宋" w:eastAsia="仿宋"/>
          <w:sz w:val="30"/>
          <w:szCs w:val="30"/>
        </w:rPr>
        <w:t>泸州是联合国粮农组织认定的“在地球同纬度上最适合酿造优质蒸馏白酒的地区”，“一是当地所产谷物品质纯正；二是具有独特的沙溪岩土壤；三是北纬</w:t>
      </w:r>
      <w:r>
        <w:rPr>
          <w:rFonts w:eastAsia="仿宋"/>
          <w:sz w:val="30"/>
          <w:szCs w:val="30"/>
        </w:rPr>
        <w:t>28</w:t>
      </w:r>
      <w:r>
        <w:rPr>
          <w:rFonts w:hint="eastAsia" w:ascii="仿宋" w:hAnsi="仿宋" w:eastAsia="仿宋"/>
          <w:sz w:val="30"/>
          <w:szCs w:val="30"/>
        </w:rPr>
        <w:t>度地带湿热，水质纯净，自然条件适合酿酒；四是曲药独特；五是自然微生物接种制成的老窖泥池及酿酒技艺一直沿用数百余年”。其集气候、水源、土壤“三位一体”的独特自然条件为优质白酒酿造提供了得天独厚、不可复制的天然生态环境。</w:t>
      </w:r>
    </w:p>
    <w:p>
      <w:pPr>
        <w:shd w:val="clear" w:color="auto" w:fill="FFFFFF"/>
        <w:adjustRightInd w:val="0"/>
        <w:snapToGrid w:val="0"/>
        <w:spacing w:line="360" w:lineRule="auto"/>
        <w:ind w:firstLine="602" w:firstLineChars="200"/>
        <w:rPr>
          <w:rFonts w:eastAsia="仿宋"/>
          <w:sz w:val="30"/>
          <w:szCs w:val="30"/>
        </w:rPr>
      </w:pPr>
      <w:r>
        <w:rPr>
          <w:rFonts w:hint="eastAsia" w:ascii="仿宋" w:hAnsi="仿宋" w:eastAsia="仿宋"/>
          <w:b/>
          <w:sz w:val="30"/>
          <w:szCs w:val="30"/>
        </w:rPr>
        <w:t>较好的发展态势。</w:t>
      </w:r>
      <w:r>
        <w:rPr>
          <w:rFonts w:hint="eastAsia" w:eastAsia="仿宋"/>
          <w:sz w:val="30"/>
          <w:szCs w:val="30"/>
        </w:rPr>
        <w:t>2020</w:t>
      </w:r>
      <w:r>
        <w:rPr>
          <w:rFonts w:eastAsia="仿宋"/>
          <w:sz w:val="30"/>
          <w:szCs w:val="30"/>
        </w:rPr>
        <w:t>年，开发区酿酒产业规上企业有5</w:t>
      </w:r>
      <w:r>
        <w:rPr>
          <w:rFonts w:hint="eastAsia" w:eastAsia="仿宋"/>
          <w:sz w:val="30"/>
          <w:szCs w:val="30"/>
        </w:rPr>
        <w:t>3</w:t>
      </w:r>
      <w:r>
        <w:rPr>
          <w:rFonts w:eastAsia="仿宋"/>
          <w:sz w:val="30"/>
          <w:szCs w:val="30"/>
        </w:rPr>
        <w:t>户，其中，酒业企业有3</w:t>
      </w:r>
      <w:r>
        <w:rPr>
          <w:rFonts w:hint="eastAsia" w:eastAsia="仿宋"/>
          <w:sz w:val="30"/>
          <w:szCs w:val="30"/>
        </w:rPr>
        <w:t>1</w:t>
      </w:r>
      <w:r>
        <w:rPr>
          <w:rFonts w:eastAsia="仿宋"/>
          <w:sz w:val="30"/>
          <w:szCs w:val="30"/>
        </w:rPr>
        <w:t>户，占比达到5</w:t>
      </w:r>
      <w:r>
        <w:rPr>
          <w:rFonts w:hint="eastAsia" w:eastAsia="仿宋"/>
          <w:sz w:val="30"/>
          <w:szCs w:val="30"/>
        </w:rPr>
        <w:t>8</w:t>
      </w:r>
      <w:r>
        <w:rPr>
          <w:rFonts w:eastAsia="仿宋"/>
          <w:sz w:val="30"/>
          <w:szCs w:val="30"/>
        </w:rPr>
        <w:t>%；酿酒产业规上企业总产值</w:t>
      </w:r>
      <w:r>
        <w:rPr>
          <w:rFonts w:hint="eastAsia" w:eastAsia="仿宋"/>
          <w:sz w:val="30"/>
          <w:szCs w:val="30"/>
        </w:rPr>
        <w:t>248.4</w:t>
      </w:r>
      <w:r>
        <w:rPr>
          <w:rFonts w:eastAsia="仿宋"/>
          <w:sz w:val="30"/>
          <w:szCs w:val="30"/>
        </w:rPr>
        <w:t>亿元，其中，酒业企业总产值为</w:t>
      </w:r>
      <w:r>
        <w:rPr>
          <w:rFonts w:hint="eastAsia" w:eastAsia="仿宋"/>
          <w:sz w:val="30"/>
          <w:szCs w:val="30"/>
        </w:rPr>
        <w:t>181.7</w:t>
      </w:r>
      <w:r>
        <w:rPr>
          <w:rFonts w:eastAsia="仿宋"/>
          <w:sz w:val="30"/>
          <w:szCs w:val="30"/>
        </w:rPr>
        <w:t>亿元，占比达到73%。总之，从产业发展基础上看，酿酒规模大，占开发区企业数量和总产值比重高，因此，</w:t>
      </w:r>
      <w:r>
        <w:rPr>
          <w:rFonts w:hAnsi="仿宋" w:eastAsia="仿宋"/>
          <w:sz w:val="30"/>
          <w:szCs w:val="30"/>
        </w:rPr>
        <w:t>以酒业作为主导产业发展酿酒产业具有产业发展基础。</w:t>
      </w:r>
      <w:r>
        <w:rPr>
          <w:rFonts w:hint="eastAsia" w:eastAsia="仿宋"/>
          <w:sz w:val="30"/>
          <w:szCs w:val="30"/>
        </w:rPr>
        <w:t xml:space="preserve"> </w:t>
      </w:r>
    </w:p>
    <w:p>
      <w:pPr>
        <w:shd w:val="clear" w:color="auto" w:fill="FFFFFF"/>
        <w:adjustRightInd w:val="0"/>
        <w:snapToGrid w:val="0"/>
        <w:spacing w:line="360" w:lineRule="auto"/>
        <w:ind w:firstLine="602" w:firstLineChars="200"/>
        <w:rPr>
          <w:rFonts w:eastAsia="仿宋"/>
          <w:sz w:val="30"/>
          <w:szCs w:val="30"/>
        </w:rPr>
      </w:pPr>
      <w:r>
        <w:rPr>
          <w:rFonts w:hint="eastAsia" w:ascii="仿宋" w:hAnsi="仿宋" w:eastAsia="仿宋"/>
          <w:b/>
          <w:sz w:val="30"/>
          <w:szCs w:val="30"/>
        </w:rPr>
        <w:t>优越的区域产业环境。</w:t>
      </w:r>
      <w:r>
        <w:rPr>
          <w:rFonts w:hAnsi="仿宋" w:eastAsia="仿宋"/>
          <w:sz w:val="30"/>
          <w:szCs w:val="30"/>
        </w:rPr>
        <w:t>自古就有</w:t>
      </w:r>
      <w:r>
        <w:rPr>
          <w:rFonts w:eastAsia="仿宋"/>
          <w:sz w:val="30"/>
          <w:szCs w:val="30"/>
        </w:rPr>
        <w:t>“</w:t>
      </w:r>
      <w:r>
        <w:rPr>
          <w:rFonts w:hAnsi="仿宋" w:eastAsia="仿宋"/>
          <w:sz w:val="30"/>
          <w:szCs w:val="30"/>
        </w:rPr>
        <w:t>中国酒城</w:t>
      </w:r>
      <w:r>
        <w:rPr>
          <w:rFonts w:eastAsia="仿宋"/>
          <w:sz w:val="30"/>
          <w:szCs w:val="30"/>
        </w:rPr>
        <w:t>”</w:t>
      </w:r>
      <w:r>
        <w:rPr>
          <w:rFonts w:hAnsi="仿宋" w:eastAsia="仿宋"/>
          <w:sz w:val="30"/>
          <w:szCs w:val="30"/>
        </w:rPr>
        <w:t>之称的泸州，位于</w:t>
      </w:r>
      <w:r>
        <w:rPr>
          <w:rFonts w:eastAsia="仿宋"/>
          <w:sz w:val="30"/>
          <w:szCs w:val="30"/>
        </w:rPr>
        <w:t>“</w:t>
      </w:r>
      <w:r>
        <w:rPr>
          <w:rFonts w:hAnsi="仿宋" w:eastAsia="仿宋"/>
          <w:sz w:val="30"/>
          <w:szCs w:val="30"/>
        </w:rPr>
        <w:t>中国白酒金三角</w:t>
      </w:r>
      <w:r>
        <w:rPr>
          <w:rFonts w:eastAsia="仿宋"/>
          <w:sz w:val="30"/>
          <w:szCs w:val="30"/>
        </w:rPr>
        <w:t>”</w:t>
      </w:r>
      <w:r>
        <w:rPr>
          <w:rFonts w:hAnsi="仿宋" w:eastAsia="仿宋"/>
          <w:sz w:val="30"/>
          <w:szCs w:val="30"/>
        </w:rPr>
        <w:t>的核心区，是构成</w:t>
      </w:r>
      <w:r>
        <w:rPr>
          <w:rFonts w:eastAsia="仿宋"/>
          <w:sz w:val="30"/>
          <w:szCs w:val="30"/>
        </w:rPr>
        <w:t>“</w:t>
      </w:r>
      <w:r>
        <w:rPr>
          <w:rFonts w:hAnsi="仿宋" w:eastAsia="仿宋"/>
          <w:sz w:val="30"/>
          <w:szCs w:val="30"/>
        </w:rPr>
        <w:t>中国白酒金三角</w:t>
      </w:r>
      <w:r>
        <w:rPr>
          <w:rFonts w:eastAsia="仿宋"/>
          <w:sz w:val="30"/>
          <w:szCs w:val="30"/>
        </w:rPr>
        <w:t>”</w:t>
      </w:r>
      <w:r>
        <w:rPr>
          <w:rFonts w:hAnsi="仿宋" w:eastAsia="仿宋"/>
          <w:sz w:val="30"/>
          <w:szCs w:val="30"/>
        </w:rPr>
        <w:t>的重要一极。近年来，为了响应省委、省政府关于加快酒业发展的号召，落实省委省政府提出的打造</w:t>
      </w:r>
      <w:r>
        <w:rPr>
          <w:rFonts w:eastAsia="仿宋"/>
          <w:sz w:val="30"/>
          <w:szCs w:val="30"/>
        </w:rPr>
        <w:t>“</w:t>
      </w:r>
      <w:r>
        <w:rPr>
          <w:rFonts w:hAnsi="仿宋" w:eastAsia="仿宋"/>
          <w:sz w:val="30"/>
          <w:szCs w:val="30"/>
        </w:rPr>
        <w:t>中国白酒金三角</w:t>
      </w:r>
      <w:r>
        <w:rPr>
          <w:rFonts w:eastAsia="仿宋"/>
          <w:sz w:val="30"/>
          <w:szCs w:val="30"/>
        </w:rPr>
        <w:t>”</w:t>
      </w:r>
      <w:r>
        <w:rPr>
          <w:rFonts w:hAnsi="仿宋" w:eastAsia="仿宋"/>
          <w:sz w:val="30"/>
          <w:szCs w:val="30"/>
        </w:rPr>
        <w:t>、构建长江上游名酒经济带和打造千亿白酒产业的宏伟计划，泸州市政府从</w:t>
      </w:r>
      <w:r>
        <w:rPr>
          <w:rFonts w:eastAsia="仿宋"/>
          <w:sz w:val="30"/>
          <w:szCs w:val="30"/>
        </w:rPr>
        <w:t>2007</w:t>
      </w:r>
      <w:r>
        <w:rPr>
          <w:rFonts w:hAnsi="仿宋" w:eastAsia="仿宋"/>
          <w:sz w:val="30"/>
          <w:szCs w:val="30"/>
        </w:rPr>
        <w:t>年开始连续多年出台关于加快酒业发展的意见，将酒类产业作为重点发展和优先扶持的</w:t>
      </w:r>
      <w:r>
        <w:rPr>
          <w:rFonts w:eastAsia="仿宋"/>
          <w:sz w:val="30"/>
          <w:szCs w:val="30"/>
        </w:rPr>
        <w:t>“</w:t>
      </w:r>
      <w:r>
        <w:rPr>
          <w:rFonts w:hAnsi="仿宋" w:eastAsia="仿宋"/>
          <w:sz w:val="30"/>
          <w:szCs w:val="30"/>
        </w:rPr>
        <w:t>一号产业</w:t>
      </w:r>
      <w:r>
        <w:rPr>
          <w:rFonts w:eastAsia="仿宋"/>
          <w:sz w:val="30"/>
          <w:szCs w:val="30"/>
        </w:rPr>
        <w:t>”</w:t>
      </w:r>
      <w:r>
        <w:rPr>
          <w:rFonts w:hAnsi="仿宋" w:eastAsia="仿宋"/>
          <w:sz w:val="30"/>
          <w:szCs w:val="30"/>
        </w:rPr>
        <w:t>来抓，使泸州的酒类产业得到了空前的发展。</w:t>
      </w:r>
      <w:r>
        <w:rPr>
          <w:rFonts w:eastAsia="仿宋"/>
          <w:sz w:val="30"/>
          <w:szCs w:val="30"/>
        </w:rPr>
        <w:t>目前，泸州市22家企业的34个产品荣获“四川名牌”称号，15个白酒产品入选“省级名优产品推广应用目录”，3个白酒产品荣获“生态原产地保护”；泸州老窖荣获“中国轻工业百强企业”、“中国轻工业食品行业50强企业”称号；郎酒集团荣获“中国白酒行业十大影响力品牌”称号；仙潭酒业、沈酒集团、国粹酒业等中小酒企位列“2017第9届华樽杯中国酒类品牌价值200强”。因此，泸县经开区酿酒产业具有优越的区域酒业发展环境。</w:t>
      </w:r>
    </w:p>
    <w:p>
      <w:pPr>
        <w:adjustRightInd w:val="0"/>
        <w:snapToGrid w:val="0"/>
        <w:spacing w:line="360" w:lineRule="auto"/>
        <w:rPr>
          <w:rFonts w:ascii="黑体" w:hAnsi="黑体" w:eastAsia="黑体"/>
          <w:sz w:val="32"/>
          <w:szCs w:val="32"/>
        </w:rPr>
      </w:pPr>
      <w:r>
        <w:rPr>
          <w:rFonts w:hint="eastAsia" w:ascii="黑体" w:hAnsi="黑体" w:eastAsia="黑体"/>
          <w:sz w:val="32"/>
          <w:szCs w:val="32"/>
        </w:rPr>
        <w:t>二、发展思路与目标</w:t>
      </w:r>
    </w:p>
    <w:p>
      <w:pPr>
        <w:shd w:val="clear" w:color="auto" w:fill="FFFFFF"/>
        <w:adjustRightInd w:val="0"/>
        <w:snapToGrid w:val="0"/>
        <w:spacing w:line="360" w:lineRule="auto"/>
        <w:ind w:firstLine="600" w:firstLineChars="200"/>
        <w:rPr>
          <w:rFonts w:ascii="仿宋" w:hAnsi="仿宋" w:eastAsia="仿宋"/>
          <w:sz w:val="30"/>
          <w:szCs w:val="30"/>
        </w:rPr>
      </w:pPr>
      <w:r>
        <w:rPr>
          <w:rFonts w:hint="eastAsia" w:ascii="仿宋" w:hAnsi="仿宋" w:eastAsia="仿宋"/>
          <w:sz w:val="30"/>
          <w:szCs w:val="30"/>
        </w:rPr>
        <w:t>基于泸县经济开发区酿酒产业现状，充分利用国家关于白酒产业政策调整的契机和泸县地处</w:t>
      </w:r>
      <w:r>
        <w:rPr>
          <w:rFonts w:ascii="仿宋" w:hAnsi="仿宋" w:eastAsia="仿宋"/>
          <w:sz w:val="30"/>
          <w:szCs w:val="30"/>
        </w:rPr>
        <w:t>生产优质酒的优势产区</w:t>
      </w:r>
      <w:r>
        <w:rPr>
          <w:rFonts w:hint="eastAsia" w:ascii="仿宋" w:hAnsi="仿宋" w:eastAsia="仿宋"/>
          <w:sz w:val="30"/>
          <w:szCs w:val="30"/>
        </w:rPr>
        <w:t>的区位优势，以核心区“华夏龙窖白酒产业园”为突破口，进一步做大做强白酒产业规模，打造泸县白酒品牌；以产业融合为导向，以业态创新为重点，通过全产业链招商，打造“链式”产业集群，构建集绿色农业定向生产、酿酒精深加工、酿酒流通销售为一体的产业体系，建成全国重要优质白酒生产基地和泸酒窖池扩展区。</w:t>
      </w:r>
    </w:p>
    <w:p>
      <w:pPr>
        <w:shd w:val="clear" w:color="auto" w:fill="FFFFFF"/>
        <w:adjustRightInd w:val="0"/>
        <w:snapToGrid w:val="0"/>
        <w:spacing w:line="360" w:lineRule="auto"/>
        <w:ind w:firstLine="600" w:firstLineChars="200"/>
        <w:rPr>
          <w:rFonts w:ascii="仿宋" w:hAnsi="仿宋" w:eastAsia="仿宋"/>
          <w:sz w:val="30"/>
          <w:szCs w:val="30"/>
        </w:rPr>
      </w:pPr>
      <w:r>
        <w:rPr>
          <w:rFonts w:ascii="仿宋" w:hAnsi="仿宋" w:eastAsia="仿宋"/>
          <w:sz w:val="30"/>
          <w:szCs w:val="30"/>
        </w:rPr>
        <w:t>产业规模进一步提升</w:t>
      </w:r>
      <w:r>
        <w:rPr>
          <w:rFonts w:hint="eastAsia" w:ascii="仿宋" w:hAnsi="仿宋" w:eastAsia="仿宋"/>
          <w:sz w:val="30"/>
          <w:szCs w:val="30"/>
        </w:rPr>
        <w:t>，</w:t>
      </w:r>
      <w:r>
        <w:rPr>
          <w:rFonts w:ascii="仿宋" w:hAnsi="仿宋" w:eastAsia="仿宋"/>
          <w:sz w:val="30"/>
          <w:szCs w:val="30"/>
        </w:rPr>
        <w:t>力争到2025年经济开发区</w:t>
      </w:r>
      <w:r>
        <w:rPr>
          <w:rFonts w:hint="eastAsia" w:ascii="仿宋" w:hAnsi="仿宋" w:eastAsia="仿宋"/>
          <w:sz w:val="30"/>
          <w:szCs w:val="30"/>
        </w:rPr>
        <w:t>酿酒</w:t>
      </w:r>
      <w:r>
        <w:rPr>
          <w:rFonts w:ascii="仿宋" w:hAnsi="仿宋" w:eastAsia="仿宋"/>
          <w:sz w:val="30"/>
          <w:szCs w:val="30"/>
        </w:rPr>
        <w:t>产业总产值达到</w:t>
      </w:r>
      <w:r>
        <w:rPr>
          <w:rFonts w:hint="eastAsia" w:ascii="仿宋" w:hAnsi="仿宋" w:eastAsia="仿宋"/>
          <w:sz w:val="30"/>
          <w:szCs w:val="30"/>
        </w:rPr>
        <w:t>300</w:t>
      </w:r>
      <w:r>
        <w:rPr>
          <w:rFonts w:ascii="仿宋" w:hAnsi="仿宋" w:eastAsia="仿宋"/>
          <w:sz w:val="30"/>
          <w:szCs w:val="30"/>
        </w:rPr>
        <w:t>亿元，</w:t>
      </w:r>
      <w:r>
        <w:rPr>
          <w:rFonts w:hint="eastAsia" w:ascii="仿宋" w:hAnsi="仿宋" w:eastAsia="仿宋"/>
          <w:sz w:val="30"/>
          <w:szCs w:val="30"/>
        </w:rPr>
        <w:t>基本形成白酒全产业链体系；</w:t>
      </w:r>
      <w:r>
        <w:rPr>
          <w:rFonts w:ascii="仿宋" w:hAnsi="仿宋" w:eastAsia="仿宋"/>
          <w:sz w:val="30"/>
          <w:szCs w:val="30"/>
        </w:rPr>
        <w:t>品牌建设取得新进展，</w:t>
      </w:r>
      <w:r>
        <w:rPr>
          <w:rFonts w:hint="eastAsia" w:ascii="仿宋" w:hAnsi="仿宋" w:eastAsia="仿宋"/>
          <w:sz w:val="30"/>
          <w:szCs w:val="30"/>
        </w:rPr>
        <w:t>力争在2025年末有1-2个品牌进入</w:t>
      </w:r>
      <w:r>
        <w:rPr>
          <w:rFonts w:ascii="仿宋" w:hAnsi="仿宋" w:eastAsia="仿宋"/>
          <w:sz w:val="30"/>
          <w:szCs w:val="30"/>
        </w:rPr>
        <w:t>川酒产业“第二梯队”</w:t>
      </w:r>
      <w:r>
        <w:rPr>
          <w:rFonts w:hint="eastAsia" w:ascii="仿宋" w:hAnsi="仿宋" w:eastAsia="仿宋"/>
          <w:sz w:val="30"/>
          <w:szCs w:val="30"/>
        </w:rPr>
        <w:t>；创新引领发展格局基本形成，电商及新型营销模式有新进展，白酒生产“数字+智能”转型和白酒窖池</w:t>
      </w:r>
      <w:r>
        <w:rPr>
          <w:rFonts w:ascii="仿宋" w:hAnsi="仿宋" w:eastAsia="仿宋"/>
          <w:sz w:val="30"/>
          <w:szCs w:val="30"/>
        </w:rPr>
        <w:t>质量</w:t>
      </w:r>
      <w:r>
        <w:rPr>
          <w:rFonts w:hint="eastAsia" w:ascii="仿宋" w:hAnsi="仿宋" w:eastAsia="仿宋"/>
          <w:sz w:val="30"/>
          <w:szCs w:val="30"/>
        </w:rPr>
        <w:t>提升有新突破。</w:t>
      </w:r>
    </w:p>
    <w:p>
      <w:pPr>
        <w:adjustRightInd w:val="0"/>
        <w:snapToGrid w:val="0"/>
        <w:spacing w:line="360" w:lineRule="auto"/>
        <w:rPr>
          <w:rFonts w:ascii="黑体" w:hAnsi="黑体" w:eastAsia="黑体"/>
          <w:sz w:val="32"/>
          <w:szCs w:val="32"/>
        </w:rPr>
      </w:pPr>
      <w:r>
        <w:rPr>
          <w:rFonts w:hint="eastAsia" w:ascii="黑体" w:hAnsi="黑体" w:eastAsia="黑体"/>
          <w:sz w:val="32"/>
          <w:szCs w:val="32"/>
        </w:rPr>
        <w:t>三、发展重点</w:t>
      </w:r>
    </w:p>
    <w:p>
      <w:pPr>
        <w:shd w:val="clear" w:color="auto" w:fill="FFFFFF"/>
        <w:adjustRightInd w:val="0"/>
        <w:snapToGrid w:val="0"/>
        <w:spacing w:line="360" w:lineRule="auto"/>
        <w:ind w:firstLine="600" w:firstLineChars="200"/>
        <w:rPr>
          <w:rFonts w:ascii="黑体" w:hAnsi="黑体" w:eastAsia="黑体"/>
          <w:sz w:val="30"/>
          <w:szCs w:val="30"/>
        </w:rPr>
      </w:pPr>
      <w:r>
        <w:rPr>
          <w:rFonts w:hint="eastAsia" w:ascii="黑体" w:hAnsi="黑体" w:eastAsia="黑体"/>
          <w:sz w:val="30"/>
          <w:szCs w:val="30"/>
        </w:rPr>
        <w:t>1、围绕优质窖池培育，做大白酒产能</w:t>
      </w:r>
    </w:p>
    <w:p>
      <w:pPr>
        <w:adjustRightInd w:val="0"/>
        <w:snapToGrid w:val="0"/>
        <w:spacing w:line="360" w:lineRule="auto"/>
        <w:ind w:firstLine="600" w:firstLineChars="200"/>
        <w:rPr>
          <w:rFonts w:ascii="仿宋" w:hAnsi="仿宋" w:eastAsia="仿宋"/>
          <w:sz w:val="30"/>
          <w:szCs w:val="30"/>
        </w:rPr>
      </w:pPr>
      <w:r>
        <w:rPr>
          <w:rFonts w:hAnsi="仿宋" w:eastAsia="仿宋"/>
          <w:sz w:val="30"/>
          <w:szCs w:val="30"/>
        </w:rPr>
        <w:t>根据国家发改委最近公布的《产业结构调整指导目录</w:t>
      </w:r>
      <w:r>
        <w:rPr>
          <w:rFonts w:eastAsia="仿宋"/>
          <w:sz w:val="30"/>
          <w:szCs w:val="30"/>
        </w:rPr>
        <w:t>(2019</w:t>
      </w:r>
      <w:r>
        <w:rPr>
          <w:rFonts w:hAnsi="仿宋" w:eastAsia="仿宋"/>
          <w:sz w:val="30"/>
          <w:szCs w:val="30"/>
        </w:rPr>
        <w:t>年本</w:t>
      </w:r>
      <w:r>
        <w:rPr>
          <w:rFonts w:eastAsia="仿宋"/>
          <w:sz w:val="30"/>
          <w:szCs w:val="30"/>
        </w:rPr>
        <w:t>)</w:t>
      </w:r>
      <w:r>
        <w:rPr>
          <w:rFonts w:hAnsi="仿宋" w:eastAsia="仿宋"/>
          <w:sz w:val="30"/>
          <w:szCs w:val="30"/>
        </w:rPr>
        <w:t>》中，</w:t>
      </w:r>
      <w:r>
        <w:rPr>
          <w:rFonts w:eastAsia="仿宋"/>
          <w:sz w:val="30"/>
          <w:szCs w:val="30"/>
        </w:rPr>
        <w:t>“</w:t>
      </w:r>
      <w:r>
        <w:rPr>
          <w:rFonts w:hAnsi="仿宋" w:eastAsia="仿宋"/>
          <w:sz w:val="30"/>
          <w:szCs w:val="30"/>
        </w:rPr>
        <w:t>限制类</w:t>
      </w:r>
      <w:r>
        <w:rPr>
          <w:rFonts w:eastAsia="仿宋"/>
          <w:sz w:val="30"/>
          <w:szCs w:val="30"/>
        </w:rPr>
        <w:t>”</w:t>
      </w:r>
      <w:r>
        <w:rPr>
          <w:rFonts w:hAnsi="仿宋" w:eastAsia="仿宋"/>
          <w:sz w:val="30"/>
          <w:szCs w:val="30"/>
        </w:rPr>
        <w:t>目录删除了</w:t>
      </w:r>
      <w:r>
        <w:rPr>
          <w:rFonts w:eastAsia="仿宋"/>
          <w:sz w:val="30"/>
          <w:szCs w:val="30"/>
        </w:rPr>
        <w:t>“</w:t>
      </w:r>
      <w:r>
        <w:rPr>
          <w:rFonts w:hAnsi="仿宋" w:eastAsia="仿宋"/>
          <w:sz w:val="30"/>
          <w:szCs w:val="30"/>
        </w:rPr>
        <w:t>白酒生产线和生产能力小于</w:t>
      </w:r>
      <w:r>
        <w:rPr>
          <w:rFonts w:eastAsia="仿宋"/>
          <w:sz w:val="30"/>
          <w:szCs w:val="30"/>
        </w:rPr>
        <w:t>18000</w:t>
      </w:r>
      <w:r>
        <w:rPr>
          <w:rFonts w:hAnsi="仿宋" w:eastAsia="仿宋"/>
          <w:sz w:val="30"/>
          <w:szCs w:val="30"/>
        </w:rPr>
        <w:t>瓶</w:t>
      </w:r>
      <w:r>
        <w:rPr>
          <w:rFonts w:eastAsia="仿宋"/>
          <w:sz w:val="30"/>
          <w:szCs w:val="30"/>
        </w:rPr>
        <w:t>/</w:t>
      </w:r>
      <w:r>
        <w:rPr>
          <w:rFonts w:hAnsi="仿宋" w:eastAsia="仿宋"/>
          <w:sz w:val="30"/>
          <w:szCs w:val="30"/>
        </w:rPr>
        <w:t>时的啤酒灌装生产线</w:t>
      </w:r>
      <w:r>
        <w:rPr>
          <w:rFonts w:eastAsia="仿宋"/>
          <w:sz w:val="30"/>
          <w:szCs w:val="30"/>
        </w:rPr>
        <w:t>”</w:t>
      </w:r>
      <w:r>
        <w:rPr>
          <w:rFonts w:hAnsi="仿宋" w:eastAsia="仿宋"/>
          <w:sz w:val="30"/>
          <w:szCs w:val="30"/>
        </w:rPr>
        <w:t>，园区应以现有企业的扩产扩能为重点进一步提升园区白酒产能。</w:t>
      </w:r>
      <w:r>
        <w:rPr>
          <w:rFonts w:hint="eastAsia" w:ascii="仿宋" w:hAnsi="仿宋" w:eastAsia="仿宋"/>
          <w:sz w:val="30"/>
          <w:szCs w:val="30"/>
        </w:rPr>
        <w:t>加大窖池规划建设力度、强化酿酒窖池资源管理，着力打造优质窖池群，重点推动</w:t>
      </w:r>
      <w:r>
        <w:rPr>
          <w:rFonts w:hint="eastAsia" w:ascii="仿宋" w:hAnsi="仿宋" w:eastAsia="仿宋"/>
          <w:bCs/>
          <w:sz w:val="30"/>
          <w:szCs w:val="30"/>
        </w:rPr>
        <w:t>汉唐酒业生产基地等重大项目建设</w:t>
      </w:r>
      <w:r>
        <w:rPr>
          <w:rFonts w:hint="eastAsia" w:ascii="仿宋" w:hAnsi="仿宋" w:eastAsia="仿宋"/>
          <w:sz w:val="30"/>
          <w:szCs w:val="30"/>
        </w:rPr>
        <w:t>。</w:t>
      </w:r>
      <w:r>
        <w:rPr>
          <w:rFonts w:hAnsi="仿宋" w:eastAsia="仿宋"/>
          <w:sz w:val="30"/>
          <w:szCs w:val="30"/>
        </w:rPr>
        <w:t>注重传统工艺与现代科技的融合，利用现代生物技术着力在窖池熟化方面实现突破，以提升本地窖池质量和白酒品质；</w:t>
      </w:r>
      <w:r>
        <w:rPr>
          <w:rFonts w:hint="eastAsia" w:ascii="仿宋" w:hAnsi="仿宋" w:eastAsia="仿宋"/>
          <w:sz w:val="30"/>
          <w:szCs w:val="30"/>
        </w:rPr>
        <w:t>加强校企合作，积极利用现代生物技术以</w:t>
      </w:r>
      <w:r>
        <w:rPr>
          <w:rFonts w:ascii="仿宋" w:hAnsi="仿宋" w:eastAsia="仿宋"/>
          <w:sz w:val="30"/>
          <w:szCs w:val="30"/>
        </w:rPr>
        <w:t>提高白酒出酒率和优品率，高效开发酒糟和黄水综合利用技术</w:t>
      </w:r>
      <w:r>
        <w:rPr>
          <w:rFonts w:hint="eastAsia" w:ascii="仿宋" w:hAnsi="仿宋" w:eastAsia="仿宋"/>
          <w:sz w:val="30"/>
          <w:szCs w:val="30"/>
        </w:rPr>
        <w:t>。</w:t>
      </w:r>
    </w:p>
    <w:p>
      <w:pPr>
        <w:shd w:val="clear" w:color="auto" w:fill="FFFFFF"/>
        <w:adjustRightInd w:val="0"/>
        <w:snapToGrid w:val="0"/>
        <w:spacing w:line="360" w:lineRule="auto"/>
        <w:ind w:firstLine="600" w:firstLineChars="200"/>
        <w:rPr>
          <w:rFonts w:ascii="黑体" w:hAnsi="黑体" w:eastAsia="黑体"/>
          <w:sz w:val="30"/>
          <w:szCs w:val="30"/>
        </w:rPr>
      </w:pPr>
      <w:r>
        <w:rPr>
          <w:rFonts w:hint="eastAsia" w:ascii="黑体" w:hAnsi="黑体" w:eastAsia="黑体"/>
          <w:sz w:val="30"/>
          <w:szCs w:val="30"/>
        </w:rPr>
        <w:t xml:space="preserve">2、围绕“数字+智能”，促进企业转型升级 </w:t>
      </w:r>
    </w:p>
    <w:p>
      <w:pPr>
        <w:adjustRightInd w:val="0"/>
        <w:snapToGrid w:val="0"/>
        <w:spacing w:line="360" w:lineRule="auto"/>
        <w:ind w:firstLine="600" w:firstLineChars="200"/>
        <w:rPr>
          <w:rFonts w:ascii="仿宋" w:hAnsi="仿宋" w:eastAsia="仿宋"/>
          <w:sz w:val="30"/>
          <w:szCs w:val="30"/>
        </w:rPr>
      </w:pPr>
      <w:r>
        <w:rPr>
          <w:rFonts w:hint="eastAsia" w:ascii="仿宋" w:hAnsi="仿宋" w:eastAsia="仿宋"/>
          <w:sz w:val="30"/>
          <w:szCs w:val="30"/>
        </w:rPr>
        <w:t>支持企业淘汰落后生产设备，加大技术改造和智能设备投入，搭建车间级工业互联网，使车间设备互联互通，完成生产线数字化、网络化改造，建设数字化车间。加大制曲、酿酒、储存、包装等生产环节的技术创新和成果转化，从原料供应、生产加工到终端销售，全流程智能化管控，创建智能工厂。加快二维码、条形码、RFID等数字感知技术应用，对产品生产、仓储、分销、物流运输、市场监察等环节数字跟踪溯源。</w:t>
      </w:r>
    </w:p>
    <w:p>
      <w:pPr>
        <w:shd w:val="clear" w:color="auto" w:fill="FFFFFF"/>
        <w:adjustRightInd w:val="0"/>
        <w:snapToGrid w:val="0"/>
        <w:spacing w:line="360" w:lineRule="auto"/>
        <w:ind w:firstLine="600" w:firstLineChars="200"/>
        <w:rPr>
          <w:rFonts w:ascii="黑体" w:hAnsi="黑体" w:eastAsia="黑体"/>
          <w:sz w:val="30"/>
          <w:szCs w:val="30"/>
        </w:rPr>
      </w:pPr>
      <w:r>
        <w:rPr>
          <w:rFonts w:hint="eastAsia" w:ascii="黑体" w:hAnsi="黑体" w:eastAsia="黑体"/>
          <w:sz w:val="30"/>
          <w:szCs w:val="30"/>
        </w:rPr>
        <w:t>3、围绕“精品+名品”，打造泸县白酒品牌</w:t>
      </w:r>
    </w:p>
    <w:p>
      <w:pPr>
        <w:adjustRightInd w:val="0"/>
        <w:snapToGrid w:val="0"/>
        <w:spacing w:line="360" w:lineRule="auto"/>
        <w:ind w:firstLine="600" w:firstLineChars="200"/>
        <w:rPr>
          <w:rFonts w:ascii="仿宋" w:hAnsi="仿宋" w:eastAsia="仿宋"/>
          <w:sz w:val="30"/>
          <w:szCs w:val="30"/>
        </w:rPr>
      </w:pPr>
      <w:r>
        <w:rPr>
          <w:rFonts w:hint="eastAsia" w:ascii="仿宋" w:hAnsi="仿宋" w:eastAsia="仿宋"/>
          <w:sz w:val="30"/>
          <w:szCs w:val="30"/>
        </w:rPr>
        <w:t>加大对名优白酒产品、重点酒类企业的扶持引导，着力发展具有鲜明特色的产品品牌，力争在2025年末有1-2个品牌进入</w:t>
      </w:r>
      <w:r>
        <w:rPr>
          <w:rFonts w:ascii="仿宋" w:hAnsi="仿宋" w:eastAsia="仿宋"/>
          <w:sz w:val="30"/>
          <w:szCs w:val="30"/>
        </w:rPr>
        <w:t>川酒产业“第二梯队”</w:t>
      </w:r>
      <w:r>
        <w:rPr>
          <w:rFonts w:hint="eastAsia" w:ascii="仿宋" w:hAnsi="仿宋" w:eastAsia="仿宋"/>
          <w:sz w:val="30"/>
          <w:szCs w:val="30"/>
        </w:rPr>
        <w:t>；支持企业依托当地资源优势，开发具有药食保健功能和历史文化内涵的产品，培养单品销量冠军。依托中国酒城，加大对泸县白酒整体形象包装和宣传，讲好泸县白酒品牌故事和品牌文化。</w:t>
      </w:r>
    </w:p>
    <w:p>
      <w:pPr>
        <w:shd w:val="clear" w:color="auto" w:fill="FFFFFF"/>
        <w:adjustRightInd w:val="0"/>
        <w:snapToGrid w:val="0"/>
        <w:spacing w:line="360" w:lineRule="auto"/>
        <w:ind w:firstLine="600" w:firstLineChars="200"/>
        <w:rPr>
          <w:rFonts w:ascii="黑体" w:hAnsi="黑体" w:eastAsia="黑体"/>
          <w:sz w:val="30"/>
          <w:szCs w:val="30"/>
        </w:rPr>
      </w:pPr>
      <w:r>
        <w:rPr>
          <w:rFonts w:hint="eastAsia" w:ascii="黑体" w:hAnsi="黑体" w:eastAsia="黑体"/>
          <w:sz w:val="30"/>
          <w:szCs w:val="30"/>
        </w:rPr>
        <w:t>4、围绕强链补链，积极发展白酒包材</w:t>
      </w:r>
    </w:p>
    <w:p>
      <w:pPr>
        <w:adjustRightInd w:val="0"/>
        <w:snapToGrid w:val="0"/>
        <w:spacing w:line="360" w:lineRule="auto"/>
        <w:ind w:firstLine="600" w:firstLineChars="200"/>
        <w:rPr>
          <w:rFonts w:ascii="仿宋" w:hAnsi="仿宋" w:eastAsia="仿宋"/>
          <w:sz w:val="30"/>
          <w:szCs w:val="30"/>
        </w:rPr>
      </w:pPr>
      <w:r>
        <w:rPr>
          <w:rFonts w:hint="eastAsia" w:ascii="仿宋" w:hAnsi="仿宋" w:eastAsia="仿宋"/>
          <w:sz w:val="30"/>
          <w:szCs w:val="30"/>
        </w:rPr>
        <w:t>依托泸州市雄厚的白酒产业基础以及由此带来的包装环节巨大的市场需求，大力发展包装材料、包装产业，积极引进“补链”项目，逐步实现包装材料本地化，形成为园区以及泸州市白酒业发展的配套产能。积极鼓励现有包装企业利用新技术、新工艺和新设备提升产品档次，开发高端产品，努力适应产品包装市场不断提高的品质要求与绿色消费趋势；将包装工业发展与环境保护紧密结合，减少包装工业对非再生性资源的消耗，控制包装废物的产生，规范包装物回收利用市场。</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22" w:type="dxa"/>
          </w:tcPr>
          <w:p>
            <w:pPr>
              <w:pStyle w:val="154"/>
              <w:adjustRightInd w:val="0"/>
              <w:snapToGrid w:val="0"/>
              <w:spacing w:beforeLines="50" w:line="360" w:lineRule="auto"/>
              <w:jc w:val="center"/>
              <w:outlineLvl w:val="2"/>
              <w:rPr>
                <w:rFonts w:ascii="黑体" w:hAnsi="黑体" w:eastAsia="黑体" w:cstheme="minorBidi"/>
                <w:sz w:val="28"/>
                <w:szCs w:val="28"/>
              </w:rPr>
            </w:pPr>
            <w:r>
              <w:rPr>
                <w:rFonts w:hint="eastAsia" w:ascii="黑体" w:hAnsi="黑体" w:eastAsia="黑体" w:cstheme="minorBidi"/>
                <w:sz w:val="28"/>
                <w:szCs w:val="28"/>
              </w:rPr>
              <w:t>专栏4-5  酿酒产业重点项目</w:t>
            </w:r>
          </w:p>
          <w:p>
            <w:pPr>
              <w:widowControl w:val="0"/>
              <w:adjustRightInd w:val="0"/>
              <w:snapToGrid w:val="0"/>
              <w:spacing w:line="360" w:lineRule="auto"/>
              <w:ind w:firstLine="361" w:firstLineChars="150"/>
              <w:jc w:val="both"/>
              <w:rPr>
                <w:rFonts w:ascii="仿宋" w:hAnsi="仿宋" w:eastAsia="仿宋"/>
              </w:rPr>
            </w:pPr>
            <w:r>
              <w:rPr>
                <w:rFonts w:hint="eastAsia" w:ascii="仿宋" w:hAnsi="仿宋" w:eastAsia="仿宋"/>
                <w:b/>
              </w:rPr>
              <w:t>白酒窖池改造提升项目：</w:t>
            </w:r>
            <w:r>
              <w:rPr>
                <w:rFonts w:hint="eastAsia" w:ascii="仿宋" w:hAnsi="仿宋" w:eastAsia="仿宋"/>
              </w:rPr>
              <w:t>利用现代生物技术对部分白酒窖池进行改造。</w:t>
            </w:r>
          </w:p>
          <w:p>
            <w:pPr>
              <w:widowControl w:val="0"/>
              <w:adjustRightInd w:val="0"/>
              <w:snapToGrid w:val="0"/>
              <w:spacing w:line="360" w:lineRule="auto"/>
              <w:ind w:firstLine="361" w:firstLineChars="150"/>
              <w:jc w:val="both"/>
              <w:rPr>
                <w:rFonts w:ascii="仿宋" w:hAnsi="仿宋" w:eastAsia="仿宋"/>
              </w:rPr>
            </w:pPr>
            <w:r>
              <w:rPr>
                <w:rFonts w:hint="eastAsia" w:ascii="仿宋" w:hAnsi="仿宋" w:eastAsia="仿宋"/>
                <w:b/>
              </w:rPr>
              <w:t>白酒车间智能化改造项目：</w:t>
            </w:r>
            <w:r>
              <w:rPr>
                <w:rFonts w:hint="eastAsia" w:ascii="仿宋" w:hAnsi="仿宋" w:eastAsia="仿宋"/>
              </w:rPr>
              <w:t>利用酿酒机器人等技术，对白酒车间进行智能化改造。</w:t>
            </w:r>
          </w:p>
          <w:p>
            <w:pPr>
              <w:widowControl w:val="0"/>
              <w:adjustRightInd w:val="0"/>
              <w:snapToGrid w:val="0"/>
              <w:spacing w:line="360" w:lineRule="auto"/>
              <w:ind w:firstLine="361" w:firstLineChars="150"/>
              <w:jc w:val="both"/>
              <w:rPr>
                <w:rFonts w:ascii="仿宋" w:hAnsi="仿宋" w:eastAsia="仿宋"/>
              </w:rPr>
            </w:pPr>
            <w:r>
              <w:rPr>
                <w:rFonts w:hint="eastAsia" w:ascii="仿宋" w:hAnsi="仿宋" w:eastAsia="仿宋"/>
                <w:b/>
              </w:rPr>
              <w:t>优质品牌白酒培育项目：</w:t>
            </w:r>
            <w:r>
              <w:rPr>
                <w:rFonts w:hint="eastAsia" w:ascii="仿宋" w:hAnsi="仿宋" w:eastAsia="仿宋"/>
              </w:rPr>
              <w:t>积极鼓励企业做强白酒品牌，创新营销模式。</w:t>
            </w:r>
          </w:p>
          <w:p>
            <w:pPr>
              <w:widowControl w:val="0"/>
              <w:adjustRightInd w:val="0"/>
              <w:snapToGrid w:val="0"/>
              <w:spacing w:line="360" w:lineRule="auto"/>
              <w:ind w:firstLine="361" w:firstLineChars="150"/>
              <w:jc w:val="both"/>
              <w:rPr>
                <w:rFonts w:ascii="仿宋" w:hAnsi="仿宋" w:eastAsia="仿宋"/>
              </w:rPr>
            </w:pPr>
            <w:r>
              <w:rPr>
                <w:rFonts w:hint="eastAsia" w:ascii="仿宋" w:hAnsi="仿宋" w:eastAsia="仿宋"/>
                <w:b/>
              </w:rPr>
              <w:t>白酒包材项目：</w:t>
            </w:r>
            <w:r>
              <w:rPr>
                <w:rFonts w:hint="eastAsia" w:ascii="仿宋" w:hAnsi="仿宋" w:eastAsia="仿宋"/>
              </w:rPr>
              <w:t>积极引进白酒包装材料项目，与泸州市白酒实现协同发展。</w:t>
            </w:r>
          </w:p>
        </w:tc>
      </w:tr>
    </w:tbl>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154"/>
              <w:adjustRightInd w:val="0"/>
              <w:snapToGrid w:val="0"/>
              <w:spacing w:beforeLines="50" w:line="360" w:lineRule="auto"/>
              <w:jc w:val="center"/>
              <w:outlineLvl w:val="2"/>
              <w:rPr>
                <w:rFonts w:ascii="黑体" w:hAnsi="黑体" w:eastAsia="黑体" w:cstheme="minorBidi"/>
                <w:sz w:val="28"/>
                <w:szCs w:val="28"/>
              </w:rPr>
            </w:pPr>
            <w:r>
              <w:rPr>
                <w:rFonts w:hint="eastAsia" w:ascii="黑体" w:hAnsi="黑体" w:eastAsia="黑体" w:cstheme="minorBidi"/>
                <w:sz w:val="28"/>
                <w:szCs w:val="28"/>
              </w:rPr>
              <w:t>专栏4-6  酿酒产业目标招引企业</w:t>
            </w:r>
          </w:p>
          <w:p>
            <w:pPr>
              <w:widowControl w:val="0"/>
              <w:adjustRightInd w:val="0"/>
              <w:snapToGrid w:val="0"/>
              <w:spacing w:line="360" w:lineRule="auto"/>
              <w:ind w:firstLine="482" w:firstLineChars="200"/>
              <w:jc w:val="both"/>
              <w:rPr>
                <w:rFonts w:ascii="仿宋" w:hAnsi="仿宋" w:eastAsia="仿宋"/>
              </w:rPr>
            </w:pPr>
            <w:r>
              <w:rPr>
                <w:rFonts w:hint="eastAsia" w:ascii="仿宋" w:hAnsi="仿宋" w:eastAsia="仿宋"/>
                <w:b/>
              </w:rPr>
              <w:t>白酒：</w:t>
            </w:r>
            <w:r>
              <w:rPr>
                <w:rFonts w:ascii="仿宋" w:hAnsi="仿宋" w:eastAsia="仿宋"/>
              </w:rPr>
              <w:t>安徽古井贡酒股份有限公司</w:t>
            </w:r>
            <w:r>
              <w:rPr>
                <w:rFonts w:hint="eastAsia" w:ascii="仿宋" w:hAnsi="仿宋" w:eastAsia="仿宋"/>
              </w:rPr>
              <w:t>、</w:t>
            </w:r>
            <w:r>
              <w:rPr>
                <w:rFonts w:ascii="仿宋" w:hAnsi="仿宋" w:eastAsia="仿宋"/>
              </w:rPr>
              <w:t>江苏洋河酒业股份有限公司沭阳分公司</w:t>
            </w:r>
            <w:r>
              <w:rPr>
                <w:rFonts w:hint="eastAsia" w:ascii="仿宋" w:hAnsi="仿宋" w:eastAsia="仿宋"/>
              </w:rPr>
              <w:t>、</w:t>
            </w:r>
            <w:r>
              <w:rPr>
                <w:rFonts w:ascii="仿宋" w:hAnsi="仿宋" w:eastAsia="仿宋"/>
              </w:rPr>
              <w:t>中国江苏双沟酒业集团有限公司</w:t>
            </w:r>
            <w:r>
              <w:rPr>
                <w:rFonts w:hint="eastAsia" w:ascii="仿宋" w:hAnsi="仿宋" w:eastAsia="仿宋"/>
              </w:rPr>
              <w:t>、</w:t>
            </w:r>
            <w:r>
              <w:rPr>
                <w:rFonts w:ascii="仿宋" w:hAnsi="仿宋" w:eastAsia="仿宋"/>
              </w:rPr>
              <w:t>四川成都全兴集团有限公司</w:t>
            </w:r>
            <w:r>
              <w:rPr>
                <w:rFonts w:hint="eastAsia" w:ascii="仿宋" w:hAnsi="仿宋" w:eastAsia="仿宋"/>
              </w:rPr>
              <w:t>、</w:t>
            </w:r>
            <w:r>
              <w:rPr>
                <w:rFonts w:ascii="仿宋" w:hAnsi="仿宋" w:eastAsia="仿宋"/>
              </w:rPr>
              <w:t>北京红星股份有限公司</w:t>
            </w:r>
            <w:r>
              <w:rPr>
                <w:rFonts w:hint="eastAsia" w:ascii="仿宋" w:hAnsi="仿宋" w:eastAsia="仿宋"/>
              </w:rPr>
              <w:t>、</w:t>
            </w:r>
            <w:r>
              <w:rPr>
                <w:rFonts w:ascii="仿宋" w:hAnsi="仿宋" w:eastAsia="仿宋"/>
              </w:rPr>
              <w:t>衡水老白干酿酒集团</w:t>
            </w:r>
            <w:r>
              <w:rPr>
                <w:rFonts w:hint="eastAsia" w:ascii="仿宋" w:hAnsi="仿宋" w:eastAsia="仿宋"/>
              </w:rPr>
              <w:t>、</w:t>
            </w:r>
            <w:r>
              <w:rPr>
                <w:rFonts w:ascii="仿宋" w:hAnsi="仿宋" w:eastAsia="仿宋"/>
              </w:rPr>
              <w:t>四川文君酒有限公司</w:t>
            </w:r>
            <w:r>
              <w:rPr>
                <w:rFonts w:hint="eastAsia" w:ascii="仿宋" w:hAnsi="仿宋" w:eastAsia="仿宋"/>
              </w:rPr>
              <w:t>、</w:t>
            </w:r>
            <w:r>
              <w:rPr>
                <w:rFonts w:ascii="仿宋" w:hAnsi="仿宋" w:eastAsia="仿宋"/>
              </w:rPr>
              <w:t>湖南省常德市武陵酒业有限公司</w:t>
            </w:r>
            <w:r>
              <w:rPr>
                <w:rFonts w:hint="eastAsia" w:ascii="仿宋" w:hAnsi="仿宋" w:eastAsia="仿宋"/>
              </w:rPr>
              <w:t>、</w:t>
            </w:r>
            <w:r>
              <w:rPr>
                <w:rFonts w:ascii="仿宋" w:hAnsi="仿宋" w:eastAsia="仿宋"/>
              </w:rPr>
              <w:t>湖南湘泉集团公司</w:t>
            </w:r>
            <w:r>
              <w:rPr>
                <w:rFonts w:hint="eastAsia" w:ascii="仿宋" w:hAnsi="仿宋" w:eastAsia="仿宋"/>
              </w:rPr>
              <w:t>、</w:t>
            </w:r>
            <w:r>
              <w:rPr>
                <w:rFonts w:ascii="仿宋" w:hAnsi="仿宋" w:eastAsia="仿宋"/>
              </w:rPr>
              <w:t>湖南酒鬼酒股份有限公司</w:t>
            </w:r>
            <w:r>
              <w:rPr>
                <w:rFonts w:hint="eastAsia" w:ascii="仿宋" w:hAnsi="仿宋" w:eastAsia="仿宋"/>
              </w:rPr>
              <w:t>、</w:t>
            </w:r>
            <w:r>
              <w:rPr>
                <w:rFonts w:ascii="仿宋" w:hAnsi="仿宋" w:eastAsia="仿宋"/>
              </w:rPr>
              <w:t>新疆伊犁酒厂</w:t>
            </w:r>
            <w:r>
              <w:rPr>
                <w:rFonts w:hint="eastAsia" w:ascii="仿宋" w:hAnsi="仿宋" w:eastAsia="仿宋"/>
              </w:rPr>
              <w:t>、</w:t>
            </w:r>
            <w:r>
              <w:rPr>
                <w:rFonts w:ascii="仿宋" w:hAnsi="仿宋" w:eastAsia="仿宋"/>
              </w:rPr>
              <w:t>河南伊川县杜康酒厂</w:t>
            </w:r>
            <w:r>
              <w:rPr>
                <w:rFonts w:hint="eastAsia" w:ascii="仿宋" w:hAnsi="仿宋" w:eastAsia="仿宋"/>
              </w:rPr>
              <w:t>、</w:t>
            </w:r>
            <w:r>
              <w:rPr>
                <w:rFonts w:ascii="仿宋" w:hAnsi="仿宋" w:eastAsia="仿宋"/>
              </w:rPr>
              <w:t>桂林酿酒总厂</w:t>
            </w:r>
            <w:r>
              <w:rPr>
                <w:rFonts w:hint="eastAsia" w:ascii="仿宋" w:hAnsi="仿宋" w:eastAsia="仿宋"/>
              </w:rPr>
              <w:t>、</w:t>
            </w:r>
            <w:r>
              <w:rPr>
                <w:rFonts w:ascii="仿宋" w:hAnsi="仿宋" w:eastAsia="仿宋"/>
              </w:rPr>
              <w:t>金六福酒业有限公司</w:t>
            </w:r>
            <w:r>
              <w:rPr>
                <w:rFonts w:hint="eastAsia" w:ascii="仿宋" w:hAnsi="仿宋" w:eastAsia="仿宋"/>
              </w:rPr>
              <w:t>、</w:t>
            </w:r>
            <w:r>
              <w:rPr>
                <w:rFonts w:ascii="仿宋" w:hAnsi="仿宋" w:eastAsia="仿宋"/>
              </w:rPr>
              <w:t>广东省九江酒厂有限公司</w:t>
            </w:r>
            <w:r>
              <w:rPr>
                <w:rFonts w:hint="eastAsia" w:ascii="仿宋" w:hAnsi="仿宋" w:eastAsia="仿宋"/>
              </w:rPr>
              <w:t>、</w:t>
            </w:r>
            <w:r>
              <w:rPr>
                <w:rFonts w:ascii="仿宋" w:hAnsi="仿宋" w:eastAsia="仿宋"/>
              </w:rPr>
              <w:t>安徽皖酒集团</w:t>
            </w:r>
            <w:r>
              <w:rPr>
                <w:rFonts w:hint="eastAsia" w:ascii="仿宋" w:hAnsi="仿宋" w:eastAsia="仿宋"/>
              </w:rPr>
              <w:t>、</w:t>
            </w:r>
            <w:r>
              <w:rPr>
                <w:rFonts w:ascii="仿宋" w:hAnsi="仿宋" w:eastAsia="仿宋"/>
              </w:rPr>
              <w:t>北京市牛栏山酒厂</w:t>
            </w:r>
            <w:r>
              <w:rPr>
                <w:rFonts w:hint="eastAsia" w:ascii="仿宋" w:hAnsi="仿宋" w:eastAsia="仿宋"/>
              </w:rPr>
              <w:t>、</w:t>
            </w:r>
            <w:r>
              <w:rPr>
                <w:rFonts w:ascii="仿宋" w:hAnsi="仿宋" w:eastAsia="仿宋"/>
              </w:rPr>
              <w:t>内蒙古河套酒业集团股份有限公司</w:t>
            </w:r>
            <w:r>
              <w:rPr>
                <w:rFonts w:hint="eastAsia" w:ascii="仿宋" w:hAnsi="仿宋" w:eastAsia="仿宋"/>
              </w:rPr>
              <w:t>、</w:t>
            </w:r>
            <w:r>
              <w:rPr>
                <w:rFonts w:ascii="仿宋" w:hAnsi="仿宋" w:eastAsia="仿宋"/>
              </w:rPr>
              <w:t>山西汾酒股份有限公司</w:t>
            </w:r>
            <w:r>
              <w:rPr>
                <w:rFonts w:hint="eastAsia" w:ascii="仿宋" w:hAnsi="仿宋" w:eastAsia="仿宋"/>
              </w:rPr>
              <w:t>、</w:t>
            </w:r>
            <w:r>
              <w:rPr>
                <w:rFonts w:ascii="仿宋" w:hAnsi="仿宋" w:eastAsia="仿宋"/>
              </w:rPr>
              <w:t>湖北三峡稻花酒厂</w:t>
            </w:r>
            <w:r>
              <w:rPr>
                <w:rFonts w:hint="eastAsia" w:ascii="仿宋" w:hAnsi="仿宋" w:eastAsia="仿宋"/>
              </w:rPr>
              <w:t>、</w:t>
            </w:r>
            <w:r>
              <w:rPr>
                <w:rFonts w:ascii="仿宋" w:hAnsi="仿宋" w:eastAsia="仿宋"/>
              </w:rPr>
              <w:t>河南宝丰酒业有限公司</w:t>
            </w:r>
            <w:r>
              <w:rPr>
                <w:rFonts w:hint="eastAsia" w:ascii="仿宋" w:hAnsi="仿宋" w:eastAsia="仿宋"/>
              </w:rPr>
              <w:t>、</w:t>
            </w:r>
            <w:r>
              <w:rPr>
                <w:rFonts w:ascii="仿宋" w:hAnsi="仿宋" w:eastAsia="仿宋"/>
              </w:rPr>
              <w:t>湖北省武汉市武汉酒厂</w:t>
            </w:r>
            <w:r>
              <w:rPr>
                <w:rFonts w:hint="eastAsia" w:ascii="仿宋" w:hAnsi="仿宋" w:eastAsia="仿宋"/>
              </w:rPr>
              <w:t>、</w:t>
            </w:r>
            <w:r>
              <w:rPr>
                <w:rFonts w:ascii="仿宋" w:hAnsi="仿宋" w:eastAsia="仿宋"/>
              </w:rPr>
              <w:t>安徽口子酒业股份有限公司</w:t>
            </w:r>
            <w:r>
              <w:rPr>
                <w:rFonts w:hint="eastAsia" w:ascii="仿宋" w:hAnsi="仿宋" w:eastAsia="仿宋"/>
              </w:rPr>
              <w:t>、</w:t>
            </w:r>
            <w:r>
              <w:rPr>
                <w:rFonts w:ascii="仿宋" w:hAnsi="仿宋" w:eastAsia="仿宋"/>
              </w:rPr>
              <w:t>安丘市景芝酒业股份有限公</w:t>
            </w:r>
            <w:r>
              <w:rPr>
                <w:rFonts w:hint="eastAsia" w:ascii="仿宋" w:hAnsi="仿宋" w:eastAsia="仿宋"/>
              </w:rPr>
              <w:t>、</w:t>
            </w:r>
            <w:r>
              <w:rPr>
                <w:rFonts w:ascii="仿宋" w:hAnsi="仿宋" w:eastAsia="仿宋"/>
              </w:rPr>
              <w:t>山东聊城景阳岗酒业有限公司</w:t>
            </w:r>
            <w:r>
              <w:rPr>
                <w:rFonts w:hint="eastAsia" w:ascii="仿宋" w:hAnsi="仿宋" w:eastAsia="仿宋"/>
              </w:rPr>
              <w:t>、</w:t>
            </w:r>
            <w:r>
              <w:rPr>
                <w:rFonts w:ascii="仿宋" w:hAnsi="仿宋" w:eastAsia="仿宋"/>
              </w:rPr>
              <w:t>湖北劲牌集团有限公司</w:t>
            </w:r>
            <w:r>
              <w:rPr>
                <w:rFonts w:hint="eastAsia" w:ascii="仿宋" w:hAnsi="仿宋" w:eastAsia="仿宋"/>
              </w:rPr>
              <w:t>等全国排名前100位，有在四川设立原酒基地可能的企业。</w:t>
            </w:r>
          </w:p>
          <w:p>
            <w:pPr>
              <w:widowControl w:val="0"/>
              <w:adjustRightInd w:val="0"/>
              <w:snapToGrid w:val="0"/>
              <w:spacing w:line="360" w:lineRule="auto"/>
              <w:ind w:firstLine="482" w:firstLineChars="200"/>
              <w:jc w:val="both"/>
            </w:pPr>
            <w:r>
              <w:rPr>
                <w:rFonts w:hint="eastAsia" w:ascii="仿宋" w:hAnsi="仿宋" w:eastAsia="仿宋"/>
                <w:b/>
              </w:rPr>
              <w:t>白酒包材：</w:t>
            </w:r>
            <w:r>
              <w:rPr>
                <w:rFonts w:hint="eastAsia" w:ascii="仿宋" w:hAnsi="仿宋" w:eastAsia="仿宋"/>
              </w:rPr>
              <w:t>美盈森、贤俊龙印务公司、裕同科技、上诚、</w:t>
            </w:r>
            <w:r>
              <w:rPr>
                <w:rFonts w:ascii="仿宋" w:hAnsi="仿宋" w:eastAsia="仿宋"/>
              </w:rPr>
              <w:t>华阳、德宝、万宇、洪熙等包装设计龙头企业</w:t>
            </w:r>
            <w:r>
              <w:rPr>
                <w:rFonts w:hint="eastAsia" w:ascii="仿宋" w:hAnsi="仿宋" w:eastAsia="仿宋"/>
              </w:rPr>
              <w:t>。</w:t>
            </w:r>
          </w:p>
        </w:tc>
      </w:tr>
    </w:tbl>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37" w:name="_Toc91676438"/>
      <w:r>
        <w:rPr>
          <w:rFonts w:hint="eastAsia" w:ascii="黑体" w:hAnsi="黑体" w:eastAsia="黑体" w:cs="Times New Roman"/>
          <w:bCs w:val="0"/>
          <w:color w:val="000000"/>
        </w:rPr>
        <w:t>第三节  大力发展新材料产业</w:t>
      </w:r>
      <w:bookmarkEnd w:id="37"/>
    </w:p>
    <w:p>
      <w:pPr>
        <w:adjustRightInd w:val="0"/>
        <w:snapToGrid w:val="0"/>
        <w:spacing w:line="360" w:lineRule="auto"/>
        <w:rPr>
          <w:rFonts w:ascii="黑体" w:hAnsi="黑体" w:eastAsia="黑体"/>
          <w:sz w:val="32"/>
          <w:szCs w:val="32"/>
        </w:rPr>
      </w:pPr>
      <w:r>
        <w:rPr>
          <w:rFonts w:hint="eastAsia" w:ascii="黑体" w:hAnsi="黑体" w:eastAsia="黑体"/>
          <w:sz w:val="32"/>
          <w:szCs w:val="32"/>
        </w:rPr>
        <w:t>一、发展条件</w:t>
      </w:r>
    </w:p>
    <w:p>
      <w:pPr>
        <w:adjustRightInd w:val="0"/>
        <w:snapToGrid w:val="0"/>
        <w:spacing w:line="360" w:lineRule="auto"/>
        <w:ind w:firstLine="602" w:firstLineChars="200"/>
        <w:rPr>
          <w:rFonts w:ascii="仿宋" w:hAnsi="仿宋" w:eastAsia="仿宋"/>
          <w:sz w:val="30"/>
          <w:szCs w:val="30"/>
        </w:rPr>
      </w:pPr>
      <w:r>
        <w:rPr>
          <w:rFonts w:hint="eastAsia" w:ascii="仿宋" w:hAnsi="仿宋" w:eastAsia="仿宋"/>
          <w:b/>
          <w:sz w:val="30"/>
          <w:szCs w:val="30"/>
        </w:rPr>
        <w:t>具备一定的产业基础。</w:t>
      </w:r>
      <w:r>
        <w:rPr>
          <w:rFonts w:hint="eastAsia" w:ascii="仿宋" w:hAnsi="仿宋" w:eastAsia="仿宋"/>
          <w:sz w:val="30"/>
          <w:szCs w:val="30"/>
        </w:rPr>
        <w:t>从开发区整体上看，新材料企业规上企业数量和新材料产业规上企业总产值占比较高。其中龙头企业泸州天蜀玻纤有限公司主要生产无碱塑料增强纱、短切纱、短切纱等产品，具有电缘性能好，强度高，耐腐蚀，耐高温，吸温少。广泛用于电机电器绕组线用绝缘材料和其它工业性用纱。泸州新康意新材料科技有限公司主要生产</w:t>
      </w:r>
      <w:r>
        <w:rPr>
          <w:rFonts w:ascii="仿宋" w:hAnsi="仿宋" w:eastAsia="仿宋"/>
          <w:sz w:val="30"/>
          <w:szCs w:val="30"/>
        </w:rPr>
        <w:t>功能膜材料</w:t>
      </w:r>
      <w:r>
        <w:rPr>
          <w:rFonts w:hint="eastAsia" w:ascii="仿宋" w:hAnsi="仿宋" w:eastAsia="仿宋"/>
          <w:sz w:val="30"/>
          <w:szCs w:val="30"/>
        </w:rPr>
        <w:t>等</w:t>
      </w:r>
      <w:r>
        <w:rPr>
          <w:rFonts w:ascii="仿宋" w:hAnsi="仿宋" w:eastAsia="仿宋"/>
          <w:sz w:val="30"/>
          <w:szCs w:val="30"/>
        </w:rPr>
        <w:t>高分子复合材料</w:t>
      </w:r>
      <w:r>
        <w:rPr>
          <w:rFonts w:hint="eastAsia" w:ascii="仿宋" w:hAnsi="仿宋" w:eastAsia="仿宋"/>
          <w:sz w:val="30"/>
          <w:szCs w:val="30"/>
        </w:rPr>
        <w:t>，产品科技含量高，</w:t>
      </w:r>
      <w:r>
        <w:rPr>
          <w:rFonts w:ascii="仿宋" w:hAnsi="仿宋" w:eastAsia="仿宋"/>
          <w:sz w:val="30"/>
          <w:szCs w:val="30"/>
        </w:rPr>
        <w:t>具有防</w:t>
      </w:r>
      <w:r>
        <w:rPr>
          <w:rFonts w:hint="eastAsia" w:ascii="仿宋" w:hAnsi="仿宋" w:eastAsia="仿宋"/>
          <w:sz w:val="30"/>
          <w:szCs w:val="30"/>
        </w:rPr>
        <w:t>水、防污、耐磨、耐腐蚀等特点，年生产能力为</w:t>
      </w:r>
      <w:r>
        <w:rPr>
          <w:rFonts w:ascii="仿宋" w:hAnsi="仿宋" w:eastAsia="仿宋"/>
          <w:sz w:val="30"/>
          <w:szCs w:val="30"/>
        </w:rPr>
        <w:t>3</w:t>
      </w:r>
      <w:r>
        <w:rPr>
          <w:rFonts w:hint="eastAsia" w:ascii="仿宋" w:hAnsi="仿宋" w:eastAsia="仿宋"/>
          <w:sz w:val="30"/>
          <w:szCs w:val="30"/>
        </w:rPr>
        <w:t>万吨，产品广泛用于医疗教育、食品保健、化妆、广告、电器</w:t>
      </w:r>
      <w:r>
        <w:rPr>
          <w:rFonts w:ascii="仿宋" w:hAnsi="仿宋" w:eastAsia="仿宋"/>
          <w:sz w:val="30"/>
          <w:szCs w:val="30"/>
        </w:rPr>
        <w:t>等彩印包装</w:t>
      </w:r>
      <w:r>
        <w:rPr>
          <w:rFonts w:hint="eastAsia" w:ascii="仿宋" w:hAnsi="仿宋" w:eastAsia="仿宋"/>
          <w:sz w:val="30"/>
          <w:szCs w:val="30"/>
        </w:rPr>
        <w:t>行业；生产技术在全国排位第一、在世界上也处于领先地位。</w:t>
      </w:r>
    </w:p>
    <w:p>
      <w:pPr>
        <w:adjustRightInd w:val="0"/>
        <w:snapToGrid w:val="0"/>
        <w:spacing w:line="360" w:lineRule="auto"/>
        <w:ind w:firstLine="602" w:firstLineChars="200"/>
        <w:rPr>
          <w:rFonts w:ascii="仿宋" w:hAnsi="仿宋" w:eastAsia="仿宋"/>
          <w:color w:val="000000"/>
          <w:sz w:val="30"/>
          <w:szCs w:val="30"/>
        </w:rPr>
      </w:pPr>
      <w:r>
        <w:rPr>
          <w:rFonts w:hint="eastAsia" w:ascii="仿宋" w:hAnsi="仿宋" w:eastAsia="仿宋"/>
          <w:b/>
          <w:sz w:val="30"/>
          <w:szCs w:val="30"/>
        </w:rPr>
        <w:t>区域产业发展环境不断成熟。</w:t>
      </w:r>
      <w:r>
        <w:rPr>
          <w:rFonts w:hint="eastAsia" w:ascii="仿宋" w:hAnsi="仿宋" w:eastAsia="仿宋"/>
          <w:color w:val="000000"/>
          <w:sz w:val="30"/>
          <w:szCs w:val="30"/>
        </w:rPr>
        <w:t>新材料产业作为工业发展的基石，下游产业的快速发展将带动相关产业的发展。当前，成渝地区双城经济圈建设被列为国家战略规划，电子信息、装备制造等产业的发展势必带动上游材料产业的发展；同时，园区作为化工产业的集聚地，具备依托化工产业下游延伸发展新材料的产业基础。</w:t>
      </w:r>
    </w:p>
    <w:p>
      <w:pPr>
        <w:adjustRightInd w:val="0"/>
        <w:snapToGrid w:val="0"/>
        <w:spacing w:line="360" w:lineRule="auto"/>
        <w:ind w:firstLine="602" w:firstLineChars="200"/>
        <w:rPr>
          <w:rFonts w:ascii="黑体" w:hAnsi="黑体" w:eastAsia="黑体"/>
          <w:sz w:val="30"/>
          <w:szCs w:val="30"/>
        </w:rPr>
      </w:pPr>
      <w:r>
        <w:rPr>
          <w:rFonts w:hint="eastAsia" w:ascii="仿宋" w:hAnsi="仿宋" w:eastAsia="仿宋"/>
          <w:b/>
          <w:sz w:val="30"/>
          <w:szCs w:val="30"/>
        </w:rPr>
        <w:t>国家产业政策大力支持。</w:t>
      </w:r>
      <w:r>
        <w:rPr>
          <w:rFonts w:hint="eastAsia" w:ascii="仿宋" w:hAnsi="仿宋" w:eastAsia="仿宋"/>
          <w:color w:val="000000"/>
          <w:sz w:val="30"/>
          <w:szCs w:val="30"/>
        </w:rPr>
        <w:t>新材料产业作为战略性新兴产业的重要组成部分，近年来国家出台了系列产业政策予以支持；其中化工新材料是支持重点。</w:t>
      </w:r>
      <w:r>
        <w:rPr>
          <w:rFonts w:ascii="仿宋" w:hAnsi="仿宋" w:eastAsia="仿宋"/>
          <w:color w:val="000000"/>
          <w:sz w:val="30"/>
          <w:szCs w:val="30"/>
        </w:rPr>
        <w:t>国家发展改革委、商务部发布《鼓励外商投资产业目录（2019年版）》，重点提及的化学原料和化学制品制造业包括：差别化、功能性聚酯(PET)；聚甲醛；聚苯硫醚；聚醚醚酮；聚酰亚胺；聚砜；聚醚砜；聚芳酯（PAR）；聚苯醚；聚对 苯二甲酸丁二醇酯（PBT）；聚酰胺(PA)及其改性材料；液晶聚合物等</w:t>
      </w:r>
      <w:r>
        <w:rPr>
          <w:rFonts w:hint="eastAsia" w:ascii="仿宋" w:hAnsi="仿宋" w:eastAsia="仿宋"/>
          <w:color w:val="000000"/>
          <w:sz w:val="30"/>
          <w:szCs w:val="30"/>
        </w:rPr>
        <w:t>。</w:t>
      </w:r>
      <w:r>
        <w:rPr>
          <w:rFonts w:ascii="仿宋" w:hAnsi="仿宋" w:eastAsia="仿宋"/>
          <w:color w:val="000000"/>
          <w:sz w:val="30"/>
          <w:szCs w:val="30"/>
        </w:rPr>
        <w:t>国家发改委《增强制造业核心竞争力三年行动计划（2018-2020年）》重点化工新材料关键技术产业化项目包括：聚苯硫醚；聚苯醚；芳族酮聚合物（聚醚醚酮、聚醚酮、聚醚酮酮）、聚芳醚醚腈；聚芳酰胺；聚芳醚；热致液晶聚合物；新型可降解塑料等。中国石化联合会《石油和化学工业“十三五”发展规划指南》将高分子材料作为战略新兴产业列为优先发展的领域，明确高分子材料“十三五”发展的目的是：以提高自主创新能力为核心，以树脂专用料、工程塑料、新型功能材料、高性能结构材料和先进复合材料为发展重点，开发工程塑料、改性树脂、高端热固性树脂及其树脂基复合材料，以及可降解塑料等新材料制备技术。中国石油和化学工业联合会关于“</w:t>
      </w:r>
      <w:r>
        <w:rPr>
          <w:rFonts w:hint="eastAsia" w:ascii="仿宋" w:hAnsi="仿宋" w:eastAsia="仿宋"/>
          <w:color w:val="000000"/>
          <w:sz w:val="30"/>
          <w:szCs w:val="30"/>
        </w:rPr>
        <w:t>‘</w:t>
      </w:r>
      <w:r>
        <w:rPr>
          <w:rFonts w:ascii="仿宋" w:hAnsi="仿宋" w:eastAsia="仿宋"/>
          <w:color w:val="000000"/>
          <w:sz w:val="30"/>
          <w:szCs w:val="30"/>
        </w:rPr>
        <w:t>十四五</w:t>
      </w:r>
      <w:r>
        <w:rPr>
          <w:rFonts w:hint="eastAsia" w:ascii="仿宋" w:hAnsi="仿宋" w:eastAsia="仿宋"/>
          <w:color w:val="000000"/>
          <w:sz w:val="30"/>
          <w:szCs w:val="30"/>
        </w:rPr>
        <w:t>’</w:t>
      </w:r>
      <w:r>
        <w:rPr>
          <w:rFonts w:ascii="仿宋" w:hAnsi="仿宋" w:eastAsia="仿宋"/>
          <w:color w:val="000000"/>
          <w:sz w:val="30"/>
          <w:szCs w:val="30"/>
        </w:rPr>
        <w:t>化工新材料产业发展的战略和任务”的重点工作指导：开发5G通信基站用核心覆铜板用树脂材料（LCP、PI、环氧树脂等）；聚砜、聚苯砜、聚醚醚酮、液晶聚合物等高性能工程塑料。</w:t>
      </w:r>
    </w:p>
    <w:p>
      <w:pPr>
        <w:adjustRightInd w:val="0"/>
        <w:snapToGrid w:val="0"/>
        <w:spacing w:line="360" w:lineRule="auto"/>
        <w:rPr>
          <w:rFonts w:ascii="黑体" w:hAnsi="黑体" w:eastAsia="黑体"/>
          <w:sz w:val="32"/>
          <w:szCs w:val="32"/>
        </w:rPr>
      </w:pPr>
      <w:r>
        <w:rPr>
          <w:rFonts w:hint="eastAsia" w:ascii="黑体" w:hAnsi="黑体" w:eastAsia="黑体"/>
          <w:sz w:val="32"/>
          <w:szCs w:val="32"/>
        </w:rPr>
        <w:t>二、发展思路与目标</w:t>
      </w:r>
    </w:p>
    <w:p>
      <w:pPr>
        <w:pStyle w:val="27"/>
        <w:shd w:val="clear" w:color="auto" w:fill="FFFFFF"/>
        <w:adjustRightInd w:val="0"/>
        <w:snapToGrid w:val="0"/>
        <w:spacing w:before="0" w:beforeAutospacing="0" w:after="0" w:afterAutospacing="0" w:line="360" w:lineRule="auto"/>
        <w:ind w:firstLine="600" w:firstLineChars="200"/>
        <w:jc w:val="both"/>
        <w:rPr>
          <w:rFonts w:ascii="仿宋" w:hAnsi="仿宋" w:eastAsia="仿宋"/>
          <w:color w:val="000000"/>
          <w:sz w:val="30"/>
          <w:szCs w:val="30"/>
        </w:rPr>
      </w:pPr>
      <w:r>
        <w:rPr>
          <w:rFonts w:hint="eastAsia" w:ascii="仿宋" w:hAnsi="仿宋" w:eastAsia="仿宋"/>
          <w:color w:val="000000"/>
          <w:sz w:val="30"/>
          <w:szCs w:val="30"/>
        </w:rPr>
        <w:t>以神仙桥产业园为载体，以开放为先，以联动为大，以当前已有新材料产业为发展基础加快做大做强做优，坚持市场导向、需求牵引和战略定位，构建以企业为主体、以高校和科研机构为支撑、产学研用协同促进的新材料产业体系，着力突破若干新材料品种、关键工艺技术与专用装备，不断提升新材料产业区域竞争力。</w:t>
      </w:r>
    </w:p>
    <w:p>
      <w:pPr>
        <w:pStyle w:val="27"/>
        <w:shd w:val="clear" w:color="auto" w:fill="FFFFFF"/>
        <w:adjustRightInd w:val="0"/>
        <w:snapToGrid w:val="0"/>
        <w:spacing w:before="0" w:beforeAutospacing="0" w:after="0" w:afterAutospacing="0" w:line="360" w:lineRule="auto"/>
        <w:ind w:firstLine="600" w:firstLineChars="200"/>
        <w:jc w:val="both"/>
        <w:rPr>
          <w:rFonts w:ascii="仿宋" w:hAnsi="仿宋" w:eastAsia="仿宋"/>
          <w:color w:val="000000"/>
          <w:sz w:val="30"/>
          <w:szCs w:val="30"/>
        </w:rPr>
      </w:pPr>
      <w:r>
        <w:rPr>
          <w:rFonts w:hint="eastAsia" w:ascii="仿宋" w:hAnsi="仿宋" w:eastAsia="仿宋"/>
          <w:color w:val="000000"/>
          <w:sz w:val="30"/>
          <w:szCs w:val="30"/>
        </w:rPr>
        <w:t>预计</w:t>
      </w:r>
      <w:r>
        <w:rPr>
          <w:rFonts w:ascii="仿宋" w:hAnsi="仿宋" w:eastAsia="仿宋"/>
          <w:color w:val="000000"/>
          <w:sz w:val="30"/>
          <w:szCs w:val="30"/>
        </w:rPr>
        <w:t>到2025年，新入驻企业20户，建成以新型建材主导的新材料产业集群，打造泸县新材料生产集中区，力争新材料产业总产值超过</w:t>
      </w:r>
      <w:r>
        <w:rPr>
          <w:rFonts w:hint="eastAsia" w:ascii="仿宋" w:hAnsi="仿宋" w:eastAsia="仿宋"/>
          <w:color w:val="000000"/>
          <w:sz w:val="30"/>
          <w:szCs w:val="30"/>
        </w:rPr>
        <w:t>50</w:t>
      </w:r>
      <w:r>
        <w:rPr>
          <w:rFonts w:ascii="仿宋" w:hAnsi="仿宋" w:eastAsia="仿宋"/>
          <w:color w:val="000000"/>
          <w:sz w:val="30"/>
          <w:szCs w:val="30"/>
        </w:rPr>
        <w:t>亿</w:t>
      </w:r>
      <w:r>
        <w:rPr>
          <w:rFonts w:hint="eastAsia" w:ascii="仿宋" w:hAnsi="仿宋" w:eastAsia="仿宋"/>
          <w:color w:val="000000"/>
          <w:sz w:val="30"/>
          <w:szCs w:val="30"/>
        </w:rPr>
        <w:t>元。</w:t>
      </w:r>
    </w:p>
    <w:p>
      <w:pPr>
        <w:adjustRightInd w:val="0"/>
        <w:snapToGrid w:val="0"/>
        <w:spacing w:line="360" w:lineRule="auto"/>
        <w:rPr>
          <w:rFonts w:ascii="黑体" w:hAnsi="黑体" w:eastAsia="黑体"/>
          <w:sz w:val="32"/>
          <w:szCs w:val="32"/>
        </w:rPr>
      </w:pPr>
      <w:r>
        <w:rPr>
          <w:rFonts w:hint="eastAsia" w:ascii="黑体" w:hAnsi="黑体" w:eastAsia="黑体"/>
          <w:sz w:val="32"/>
          <w:szCs w:val="32"/>
        </w:rPr>
        <w:t>三、发展重点</w:t>
      </w:r>
    </w:p>
    <w:p>
      <w:pPr>
        <w:adjustRightInd w:val="0"/>
        <w:snapToGrid w:val="0"/>
        <w:spacing w:line="360" w:lineRule="auto"/>
        <w:ind w:firstLine="600" w:firstLineChars="200"/>
        <w:rPr>
          <w:rFonts w:ascii="黑体" w:hAnsi="黑体" w:eastAsia="黑体"/>
          <w:sz w:val="30"/>
          <w:szCs w:val="30"/>
        </w:rPr>
      </w:pPr>
      <w:r>
        <w:rPr>
          <w:rFonts w:hint="eastAsia" w:ascii="黑体" w:hAnsi="黑体" w:eastAsia="黑体"/>
          <w:sz w:val="30"/>
          <w:szCs w:val="30"/>
        </w:rPr>
        <w:t xml:space="preserve">1、大力发展改性材料 </w:t>
      </w:r>
    </w:p>
    <w:p>
      <w:pPr>
        <w:adjustRightInd w:val="0"/>
        <w:snapToGrid w:val="0"/>
        <w:spacing w:line="360" w:lineRule="auto"/>
        <w:ind w:firstLine="600" w:firstLineChars="200"/>
        <w:rPr>
          <w:rFonts w:ascii="仿宋" w:hAnsi="仿宋" w:eastAsia="仿宋"/>
          <w:sz w:val="30"/>
          <w:szCs w:val="30"/>
        </w:rPr>
      </w:pPr>
      <w:r>
        <w:rPr>
          <w:rFonts w:hint="eastAsia" w:ascii="仿宋" w:hAnsi="仿宋" w:eastAsia="仿宋"/>
          <w:sz w:val="30"/>
          <w:szCs w:val="30"/>
        </w:rPr>
        <w:t>（1）车用改性材料</w:t>
      </w:r>
    </w:p>
    <w:p>
      <w:pPr>
        <w:adjustRightInd w:val="0"/>
        <w:snapToGrid w:val="0"/>
        <w:spacing w:line="360" w:lineRule="auto"/>
        <w:ind w:firstLine="560"/>
        <w:rPr>
          <w:rFonts w:ascii="仿宋" w:hAnsi="仿宋" w:eastAsia="仿宋"/>
          <w:color w:val="000000"/>
          <w:sz w:val="30"/>
          <w:szCs w:val="30"/>
        </w:rPr>
      </w:pPr>
      <w:r>
        <w:rPr>
          <w:rFonts w:hint="eastAsia" w:ascii="仿宋" w:hAnsi="仿宋" w:eastAsia="仿宋"/>
          <w:color w:val="000000"/>
          <w:sz w:val="30"/>
          <w:szCs w:val="30"/>
        </w:rPr>
        <w:t>依托成渝双城经济圈新能源汽车对汽车轻量化材料的巨大需求和泸州及周边区域在聚丙烯、聚碳酸酯、聚氯乙烯、合成橡胶等领域较好的产业基础，积极发展PBT、尼龙、聚甲醛等工程塑料和T</w:t>
      </w:r>
      <w:r>
        <w:rPr>
          <w:rFonts w:ascii="仿宋" w:hAnsi="仿宋" w:eastAsia="仿宋"/>
          <w:color w:val="000000"/>
          <w:sz w:val="30"/>
          <w:szCs w:val="30"/>
        </w:rPr>
        <w:t>PEE</w:t>
      </w:r>
      <w:r>
        <w:rPr>
          <w:rFonts w:hint="eastAsia" w:ascii="仿宋" w:hAnsi="仿宋" w:eastAsia="仿宋"/>
          <w:color w:val="000000"/>
          <w:sz w:val="30"/>
          <w:szCs w:val="30"/>
        </w:rPr>
        <w:t>弹性体，并与本地汽车零部件制造企业及省内整车制造企业建立紧密联系，针对其个性化需求，细分产品类型，在产品牌号、性能上实现协同发展、共同开发。</w:t>
      </w:r>
    </w:p>
    <w:p>
      <w:pPr>
        <w:adjustRightInd w:val="0"/>
        <w:snapToGrid w:val="0"/>
        <w:spacing w:line="360" w:lineRule="auto"/>
        <w:ind w:firstLine="600" w:firstLineChars="200"/>
        <w:rPr>
          <w:rFonts w:ascii="仿宋" w:hAnsi="仿宋" w:eastAsia="仿宋"/>
          <w:sz w:val="30"/>
          <w:szCs w:val="30"/>
        </w:rPr>
      </w:pPr>
      <w:bookmarkStart w:id="38" w:name="_Hlk58339255"/>
      <w:r>
        <w:rPr>
          <w:rFonts w:hint="eastAsia" w:ascii="仿宋" w:hAnsi="仿宋" w:eastAsia="仿宋"/>
          <w:sz w:val="30"/>
          <w:szCs w:val="30"/>
        </w:rPr>
        <w:t>（2）电子电气</w:t>
      </w:r>
      <w:bookmarkEnd w:id="38"/>
      <w:r>
        <w:rPr>
          <w:rFonts w:hint="eastAsia" w:ascii="仿宋" w:hAnsi="仿宋" w:eastAsia="仿宋"/>
          <w:sz w:val="30"/>
          <w:szCs w:val="30"/>
        </w:rPr>
        <w:t>改性材料</w:t>
      </w:r>
    </w:p>
    <w:p>
      <w:pPr>
        <w:adjustRightInd w:val="0"/>
        <w:snapToGrid w:val="0"/>
        <w:spacing w:line="360" w:lineRule="auto"/>
        <w:ind w:firstLine="560"/>
        <w:rPr>
          <w:rFonts w:ascii="仿宋" w:hAnsi="仿宋" w:eastAsia="仿宋"/>
          <w:color w:val="000000"/>
          <w:sz w:val="30"/>
          <w:szCs w:val="30"/>
        </w:rPr>
      </w:pPr>
      <w:r>
        <w:rPr>
          <w:rFonts w:hint="eastAsia" w:ascii="仿宋" w:hAnsi="仿宋" w:eastAsia="仿宋"/>
          <w:color w:val="000000"/>
          <w:sz w:val="30"/>
          <w:szCs w:val="30"/>
        </w:rPr>
        <w:t>近年来改性塑料凭借其优异的综合性能在电子电气产品中大量取代金属和无机非金属材料。园区依托现有聚碳酸酯产业基础，并外购其他基础原料，针对下游细分市场需求生产高端改性P</w:t>
      </w:r>
      <w:r>
        <w:rPr>
          <w:rFonts w:ascii="仿宋" w:hAnsi="仿宋" w:eastAsia="仿宋"/>
          <w:color w:val="000000"/>
          <w:sz w:val="30"/>
          <w:szCs w:val="30"/>
        </w:rPr>
        <w:t>C</w:t>
      </w:r>
      <w:r>
        <w:rPr>
          <w:rFonts w:hint="eastAsia" w:ascii="仿宋" w:hAnsi="仿宋" w:eastAsia="仿宋"/>
          <w:color w:val="000000"/>
          <w:sz w:val="30"/>
          <w:szCs w:val="30"/>
        </w:rPr>
        <w:t>材料，以需求促发展，推动产品价值提升和市场应用拓展。</w:t>
      </w:r>
    </w:p>
    <w:p>
      <w:pPr>
        <w:adjustRightInd w:val="0"/>
        <w:snapToGrid w:val="0"/>
        <w:spacing w:line="360" w:lineRule="auto"/>
        <w:ind w:firstLine="600" w:firstLineChars="200"/>
        <w:rPr>
          <w:rFonts w:ascii="黑体" w:hAnsi="黑体" w:eastAsia="黑体"/>
          <w:sz w:val="30"/>
          <w:szCs w:val="30"/>
        </w:rPr>
      </w:pPr>
      <w:r>
        <w:rPr>
          <w:rFonts w:hint="eastAsia" w:ascii="黑体" w:hAnsi="黑体" w:eastAsia="黑体"/>
          <w:sz w:val="30"/>
          <w:szCs w:val="30"/>
        </w:rPr>
        <w:t>2、着力打造“技术+资本+原材料”产业发展平台</w:t>
      </w:r>
    </w:p>
    <w:p>
      <w:pPr>
        <w:pStyle w:val="27"/>
        <w:shd w:val="clear" w:color="auto" w:fill="FFFFFF"/>
        <w:adjustRightInd w:val="0"/>
        <w:snapToGrid w:val="0"/>
        <w:spacing w:before="0" w:beforeAutospacing="0" w:after="0" w:afterAutospacing="0" w:line="360" w:lineRule="auto"/>
        <w:ind w:firstLine="552"/>
        <w:rPr>
          <w:rFonts w:ascii="仿宋" w:hAnsi="仿宋" w:eastAsia="仿宋"/>
          <w:sz w:val="30"/>
          <w:szCs w:val="30"/>
        </w:rPr>
      </w:pPr>
      <w:r>
        <w:rPr>
          <w:rFonts w:hint="eastAsia" w:ascii="仿宋" w:hAnsi="仿宋" w:eastAsia="仿宋" w:cstheme="minorBidi"/>
          <w:b/>
          <w:sz w:val="30"/>
          <w:szCs w:val="30"/>
        </w:rPr>
        <w:t>打造新材料产业</w:t>
      </w:r>
      <w:r>
        <w:rPr>
          <w:rFonts w:ascii="仿宋" w:hAnsi="仿宋" w:eastAsia="仿宋" w:cstheme="minorBidi"/>
          <w:b/>
          <w:sz w:val="30"/>
          <w:szCs w:val="30"/>
        </w:rPr>
        <w:t>“最强大脑”</w:t>
      </w:r>
      <w:r>
        <w:rPr>
          <w:rFonts w:hint="eastAsia" w:ascii="仿宋" w:hAnsi="仿宋" w:eastAsia="仿宋" w:cstheme="minorBidi"/>
          <w:b/>
          <w:sz w:val="30"/>
          <w:szCs w:val="30"/>
        </w:rPr>
        <w:t>。</w:t>
      </w:r>
      <w:r>
        <w:rPr>
          <w:rFonts w:hint="eastAsia" w:ascii="仿宋" w:hAnsi="仿宋" w:eastAsia="仿宋"/>
          <w:sz w:val="30"/>
          <w:szCs w:val="30"/>
        </w:rPr>
        <w:t>加强与四川大学高分子国家重点实验室等高校科研院所的多层次合作，积极鼓励园区企业与高校科研院所联合建设</w:t>
      </w:r>
      <w:r>
        <w:rPr>
          <w:rFonts w:ascii="仿宋" w:hAnsi="仿宋" w:eastAsia="仿宋"/>
          <w:sz w:val="30"/>
          <w:szCs w:val="30"/>
        </w:rPr>
        <w:t>国家级和省级重点实验室、工程实验室、工程（技术）研究中心、工业设计中心等不同形态的协同创新组织</w:t>
      </w:r>
      <w:r>
        <w:rPr>
          <w:rFonts w:hint="eastAsia" w:ascii="仿宋" w:hAnsi="仿宋" w:eastAsia="仿宋"/>
          <w:sz w:val="30"/>
          <w:szCs w:val="30"/>
        </w:rPr>
        <w:t>；积极探索“研发在成渝、生产在泸县”等产业合作模式，</w:t>
      </w:r>
      <w:r>
        <w:rPr>
          <w:rFonts w:hint="eastAsia" w:ascii="仿宋" w:hAnsi="仿宋" w:eastAsia="仿宋" w:cstheme="minorBidi"/>
          <w:sz w:val="30"/>
          <w:szCs w:val="30"/>
        </w:rPr>
        <w:t>为园区新材料</w:t>
      </w:r>
      <w:r>
        <w:rPr>
          <w:rFonts w:ascii="仿宋" w:hAnsi="仿宋" w:eastAsia="仿宋" w:cstheme="minorBidi"/>
          <w:sz w:val="30"/>
          <w:szCs w:val="30"/>
        </w:rPr>
        <w:t>产业发展构建“最强大脑”</w:t>
      </w:r>
      <w:r>
        <w:rPr>
          <w:rFonts w:hint="eastAsia" w:ascii="仿宋" w:hAnsi="仿宋" w:eastAsia="仿宋" w:cstheme="minorBidi"/>
          <w:sz w:val="30"/>
          <w:szCs w:val="30"/>
        </w:rPr>
        <w:t>和“信息平台”，</w:t>
      </w:r>
      <w:r>
        <w:rPr>
          <w:rFonts w:hint="eastAsia" w:ascii="仿宋" w:hAnsi="仿宋" w:eastAsia="仿宋"/>
          <w:sz w:val="30"/>
          <w:szCs w:val="30"/>
        </w:rPr>
        <w:t>增强园区的技术支撑。</w:t>
      </w:r>
    </w:p>
    <w:p>
      <w:pPr>
        <w:pStyle w:val="27"/>
        <w:shd w:val="clear" w:color="auto" w:fill="FFFFFF"/>
        <w:adjustRightInd w:val="0"/>
        <w:snapToGrid w:val="0"/>
        <w:spacing w:before="0" w:beforeAutospacing="0" w:after="0" w:afterAutospacing="0" w:line="360" w:lineRule="auto"/>
        <w:ind w:firstLine="552"/>
        <w:rPr>
          <w:rFonts w:ascii="仿宋" w:hAnsi="仿宋" w:eastAsia="仿宋" w:cstheme="minorBidi"/>
          <w:sz w:val="30"/>
          <w:szCs w:val="30"/>
        </w:rPr>
      </w:pPr>
      <w:r>
        <w:rPr>
          <w:rFonts w:hint="eastAsia" w:ascii="仿宋" w:hAnsi="仿宋" w:eastAsia="仿宋" w:cstheme="minorBidi"/>
          <w:b/>
          <w:sz w:val="30"/>
          <w:szCs w:val="30"/>
        </w:rPr>
        <w:t>构建新材料资金洼地。</w:t>
      </w:r>
      <w:r>
        <w:rPr>
          <w:rFonts w:hint="eastAsia" w:ascii="仿宋" w:hAnsi="仿宋" w:eastAsia="仿宋" w:cstheme="minorBidi"/>
          <w:sz w:val="30"/>
          <w:szCs w:val="30"/>
        </w:rPr>
        <w:t>充分发挥国有资本的杠杆作用，联合知名化工龙头企业和风投公司设立新材料产业投资基金，为园区企业提供资本支撑；积极鼓励金融机构、融资租赁公司、政策性担保机构为园区落户企业提供金融支持，并给予一定优惠政策。</w:t>
      </w:r>
    </w:p>
    <w:p>
      <w:pPr>
        <w:pStyle w:val="27"/>
        <w:shd w:val="clear" w:color="auto" w:fill="FFFFFF"/>
        <w:adjustRightInd w:val="0"/>
        <w:snapToGrid w:val="0"/>
        <w:spacing w:before="0" w:beforeAutospacing="0" w:after="0" w:afterAutospacing="0" w:line="360" w:lineRule="auto"/>
        <w:ind w:firstLine="552"/>
        <w:rPr>
          <w:rFonts w:ascii="仿宋" w:hAnsi="仿宋" w:eastAsia="仿宋" w:cstheme="minorBidi"/>
          <w:sz w:val="30"/>
          <w:szCs w:val="30"/>
        </w:rPr>
      </w:pPr>
      <w:r>
        <w:rPr>
          <w:rFonts w:hint="eastAsia" w:ascii="仿宋" w:hAnsi="仿宋" w:eastAsia="仿宋" w:cstheme="minorBidi"/>
          <w:b/>
          <w:sz w:val="30"/>
          <w:szCs w:val="30"/>
        </w:rPr>
        <w:t>着力增强产业链韧性。</w:t>
      </w:r>
      <w:r>
        <w:rPr>
          <w:rFonts w:hint="eastAsia" w:ascii="仿宋" w:hAnsi="仿宋" w:eastAsia="仿宋" w:cstheme="minorBidi"/>
          <w:sz w:val="30"/>
          <w:szCs w:val="30"/>
        </w:rPr>
        <w:t>积极鼓励园区上游化工企业与新材料企业开展签订长期合同、参股等多形式合作，积极推动化工与新材料的一体化发展形成产业共同体，着力增强产业链韧性。</w:t>
      </w:r>
    </w:p>
    <w:p>
      <w:pPr>
        <w:adjustRightInd w:val="0"/>
        <w:snapToGrid w:val="0"/>
        <w:spacing w:line="360" w:lineRule="auto"/>
        <w:ind w:firstLine="600" w:firstLineChars="200"/>
        <w:rPr>
          <w:rFonts w:ascii="黑体" w:hAnsi="黑体" w:eastAsia="黑体"/>
          <w:sz w:val="30"/>
          <w:szCs w:val="30"/>
        </w:rPr>
      </w:pPr>
      <w:r>
        <w:rPr>
          <w:rFonts w:hint="eastAsia" w:ascii="黑体" w:hAnsi="黑体" w:eastAsia="黑体"/>
          <w:sz w:val="30"/>
          <w:szCs w:val="30"/>
        </w:rPr>
        <w:t>3、加强产业合作</w:t>
      </w:r>
    </w:p>
    <w:p>
      <w:pPr>
        <w:shd w:val="clear" w:color="auto" w:fill="FFFFFF"/>
        <w:adjustRightInd w:val="0"/>
        <w:snapToGrid w:val="0"/>
        <w:spacing w:line="360" w:lineRule="auto"/>
        <w:ind w:firstLine="600" w:firstLineChars="200"/>
        <w:rPr>
          <w:rFonts w:ascii="仿宋" w:hAnsi="仿宋" w:eastAsia="仿宋"/>
          <w:sz w:val="30"/>
          <w:szCs w:val="30"/>
        </w:rPr>
      </w:pPr>
      <w:r>
        <w:rPr>
          <w:rFonts w:hint="eastAsia" w:ascii="仿宋" w:hAnsi="仿宋" w:eastAsia="仿宋"/>
          <w:sz w:val="30"/>
          <w:szCs w:val="30"/>
        </w:rPr>
        <w:t>加强国际新材料创新合作和政策法规等信息引导，支持企业融入“一带一路”建设，促进新材料产业人才团队、技术资本、标准专利、管理经验交流合作。加强与新材料产业发达的园区、企业交流合作，发挥各自优势特色，形成战略发展同盟，实现地区错位、协同发展。</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22" w:type="dxa"/>
          </w:tcPr>
          <w:p>
            <w:pPr>
              <w:pStyle w:val="154"/>
              <w:adjustRightInd w:val="0"/>
              <w:snapToGrid w:val="0"/>
              <w:spacing w:beforeLines="50" w:line="360" w:lineRule="auto"/>
              <w:jc w:val="center"/>
              <w:outlineLvl w:val="2"/>
              <w:rPr>
                <w:rFonts w:ascii="黑体" w:hAnsi="黑体" w:eastAsia="黑体" w:cstheme="minorBidi"/>
                <w:sz w:val="28"/>
                <w:szCs w:val="28"/>
              </w:rPr>
            </w:pPr>
            <w:r>
              <w:rPr>
                <w:rFonts w:hint="eastAsia" w:ascii="黑体" w:hAnsi="黑体" w:eastAsia="黑体" w:cstheme="minorBidi"/>
                <w:sz w:val="28"/>
                <w:szCs w:val="28"/>
              </w:rPr>
              <w:t>专栏4-7  车用及电子电气用材料</w:t>
            </w:r>
            <w:r>
              <w:rPr>
                <w:rFonts w:ascii="黑体" w:hAnsi="黑体" w:eastAsia="黑体" w:cstheme="minorBidi"/>
                <w:sz w:val="28"/>
                <w:szCs w:val="28"/>
              </w:rPr>
              <w:t>重点规划项目</w:t>
            </w:r>
          </w:p>
          <w:p>
            <w:pPr>
              <w:widowControl w:val="0"/>
              <w:adjustRightInd w:val="0"/>
              <w:snapToGrid w:val="0"/>
              <w:spacing w:line="360" w:lineRule="auto"/>
              <w:ind w:firstLine="482" w:firstLineChars="200"/>
              <w:jc w:val="both"/>
              <w:rPr>
                <w:rFonts w:ascii="仿宋" w:hAnsi="仿宋" w:eastAsia="仿宋"/>
              </w:rPr>
            </w:pPr>
            <w:r>
              <w:rPr>
                <w:rFonts w:ascii="仿宋" w:hAnsi="仿宋" w:eastAsia="仿宋"/>
                <w:b/>
              </w:rPr>
              <w:t>10万吨/年聚丙烯改性材料</w:t>
            </w:r>
            <w:r>
              <w:rPr>
                <w:rFonts w:hint="eastAsia" w:ascii="仿宋" w:hAnsi="仿宋" w:eastAsia="仿宋"/>
                <w:b/>
              </w:rPr>
              <w:t>：</w:t>
            </w:r>
            <w:r>
              <w:rPr>
                <w:rFonts w:hint="eastAsia" w:ascii="仿宋" w:hAnsi="仿宋" w:eastAsia="仿宋"/>
              </w:rPr>
              <w:t>可</w:t>
            </w:r>
            <w:r>
              <w:rPr>
                <w:rFonts w:ascii="仿宋" w:hAnsi="仿宋" w:eastAsia="仿宋"/>
              </w:rPr>
              <w:t>用于汽车</w:t>
            </w:r>
            <w:r>
              <w:rPr>
                <w:rFonts w:hint="eastAsia" w:ascii="仿宋" w:hAnsi="仿宋" w:eastAsia="仿宋"/>
              </w:rPr>
              <w:t>及电子电器</w:t>
            </w:r>
            <w:r>
              <w:rPr>
                <w:rFonts w:ascii="仿宋" w:hAnsi="仿宋" w:eastAsia="仿宋"/>
              </w:rPr>
              <w:t>领域，可生产各种汽车零部件</w:t>
            </w:r>
            <w:r>
              <w:rPr>
                <w:rFonts w:hint="eastAsia" w:ascii="仿宋" w:hAnsi="仿宋" w:eastAsia="仿宋"/>
              </w:rPr>
              <w:t>、电子电器零部件。</w:t>
            </w:r>
          </w:p>
          <w:p>
            <w:pPr>
              <w:widowControl w:val="0"/>
              <w:adjustRightInd w:val="0"/>
              <w:snapToGrid w:val="0"/>
              <w:spacing w:line="360" w:lineRule="auto"/>
              <w:ind w:firstLine="482" w:firstLineChars="200"/>
              <w:jc w:val="both"/>
              <w:rPr>
                <w:rFonts w:ascii="仿宋" w:hAnsi="仿宋" w:eastAsia="仿宋"/>
              </w:rPr>
            </w:pPr>
            <w:r>
              <w:rPr>
                <w:rFonts w:ascii="仿宋" w:hAnsi="仿宋" w:eastAsia="仿宋"/>
                <w:b/>
              </w:rPr>
              <w:t>3万吨/年低VOC排放的车用聚氨酯材料</w:t>
            </w:r>
            <w:r>
              <w:rPr>
                <w:rFonts w:hint="eastAsia" w:ascii="仿宋" w:hAnsi="仿宋" w:eastAsia="仿宋"/>
                <w:b/>
              </w:rPr>
              <w:t>：</w:t>
            </w:r>
            <w:r>
              <w:rPr>
                <w:rFonts w:hint="eastAsia" w:ascii="仿宋" w:hAnsi="仿宋" w:eastAsia="仿宋"/>
              </w:rPr>
              <w:t>可</w:t>
            </w:r>
            <w:r>
              <w:rPr>
                <w:rFonts w:ascii="仿宋" w:hAnsi="仿宋" w:eastAsia="仿宋"/>
              </w:rPr>
              <w:t>用于汽车内饰</w:t>
            </w:r>
            <w:r>
              <w:rPr>
                <w:rFonts w:hint="eastAsia" w:ascii="仿宋" w:hAnsi="仿宋" w:eastAsia="仿宋"/>
              </w:rPr>
              <w:t>。</w:t>
            </w:r>
            <w:r>
              <w:rPr>
                <w:rFonts w:ascii="仿宋" w:hAnsi="仿宋" w:eastAsia="仿宋"/>
              </w:rPr>
              <w:t>2万吨/年丁基橡胶/尼龙共混弹性体</w:t>
            </w:r>
            <w:r>
              <w:rPr>
                <w:rFonts w:hint="eastAsia" w:ascii="仿宋" w:hAnsi="仿宋" w:eastAsia="仿宋"/>
              </w:rPr>
              <w:t>：可</w:t>
            </w:r>
            <w:r>
              <w:rPr>
                <w:rFonts w:ascii="仿宋" w:hAnsi="仿宋" w:eastAsia="仿宋"/>
              </w:rPr>
              <w:t>用于高端、特种轮胎内胎</w:t>
            </w:r>
            <w:r>
              <w:rPr>
                <w:rFonts w:hint="eastAsia" w:ascii="仿宋" w:hAnsi="仿宋" w:eastAsia="仿宋"/>
              </w:rPr>
              <w:t>。</w:t>
            </w:r>
          </w:p>
          <w:p>
            <w:pPr>
              <w:widowControl w:val="0"/>
              <w:adjustRightInd w:val="0"/>
              <w:snapToGrid w:val="0"/>
              <w:spacing w:line="360" w:lineRule="auto"/>
              <w:ind w:firstLine="482" w:firstLineChars="200"/>
              <w:jc w:val="both"/>
              <w:rPr>
                <w:rFonts w:ascii="仿宋" w:hAnsi="仿宋" w:eastAsia="仿宋"/>
              </w:rPr>
            </w:pPr>
            <w:r>
              <w:rPr>
                <w:rFonts w:ascii="仿宋" w:hAnsi="仿宋" w:eastAsia="仿宋"/>
                <w:b/>
              </w:rPr>
              <w:t>2万吨/年</w:t>
            </w:r>
            <w:r>
              <w:rPr>
                <w:rFonts w:hint="eastAsia" w:ascii="仿宋" w:hAnsi="仿宋" w:eastAsia="仿宋"/>
                <w:b/>
              </w:rPr>
              <w:t>玻纤增强尼龙材料：</w:t>
            </w:r>
            <w:r>
              <w:rPr>
                <w:rFonts w:hint="eastAsia" w:ascii="仿宋" w:hAnsi="仿宋" w:eastAsia="仿宋"/>
              </w:rPr>
              <w:t>可</w:t>
            </w:r>
            <w:r>
              <w:rPr>
                <w:rFonts w:ascii="仿宋" w:hAnsi="仿宋" w:eastAsia="仿宋"/>
              </w:rPr>
              <w:t>用于</w:t>
            </w:r>
            <w:r>
              <w:rPr>
                <w:rFonts w:hint="eastAsia" w:ascii="仿宋" w:hAnsi="仿宋" w:eastAsia="仿宋"/>
              </w:rPr>
              <w:t>汽车零部件、机械零件、机壳、护罩、线圈骨架、轴承保持架和轴承等。</w:t>
            </w:r>
          </w:p>
          <w:p>
            <w:pPr>
              <w:widowControl w:val="0"/>
              <w:adjustRightInd w:val="0"/>
              <w:snapToGrid w:val="0"/>
              <w:spacing w:line="360" w:lineRule="auto"/>
              <w:ind w:firstLine="482" w:firstLineChars="200"/>
              <w:jc w:val="both"/>
              <w:rPr>
                <w:rFonts w:ascii="仿宋" w:hAnsi="仿宋" w:eastAsia="仿宋"/>
              </w:rPr>
            </w:pPr>
            <w:r>
              <w:rPr>
                <w:rFonts w:ascii="仿宋" w:hAnsi="仿宋" w:eastAsia="仿宋"/>
                <w:b/>
              </w:rPr>
              <w:t>1万吨/年聚乙烯醇缩丁醛PVB膜片</w:t>
            </w:r>
            <w:r>
              <w:rPr>
                <w:rFonts w:hint="eastAsia" w:ascii="仿宋" w:hAnsi="仿宋" w:eastAsia="仿宋"/>
                <w:b/>
              </w:rPr>
              <w:t>：</w:t>
            </w:r>
            <w:r>
              <w:rPr>
                <w:rFonts w:hint="eastAsia" w:ascii="仿宋" w:hAnsi="仿宋" w:eastAsia="仿宋"/>
              </w:rPr>
              <w:t>可</w:t>
            </w:r>
            <w:r>
              <w:rPr>
                <w:rFonts w:ascii="仿宋" w:hAnsi="仿宋" w:eastAsia="仿宋"/>
              </w:rPr>
              <w:t>用于汽车</w:t>
            </w:r>
            <w:r>
              <w:rPr>
                <w:rFonts w:hint="eastAsia" w:ascii="仿宋" w:hAnsi="仿宋" w:eastAsia="仿宋"/>
              </w:rPr>
              <w:t>、建筑用</w:t>
            </w:r>
            <w:r>
              <w:rPr>
                <w:rFonts w:ascii="仿宋" w:hAnsi="仿宋" w:eastAsia="仿宋"/>
              </w:rPr>
              <w:t>玻璃中间胶膜</w:t>
            </w:r>
            <w:r>
              <w:rPr>
                <w:rFonts w:hint="eastAsia" w:ascii="仿宋" w:hAnsi="仿宋" w:eastAsia="仿宋"/>
              </w:rPr>
              <w:t>。</w:t>
            </w:r>
          </w:p>
          <w:p>
            <w:pPr>
              <w:widowControl w:val="0"/>
              <w:adjustRightInd w:val="0"/>
              <w:snapToGrid w:val="0"/>
              <w:spacing w:line="360" w:lineRule="auto"/>
              <w:ind w:firstLine="482" w:firstLineChars="200"/>
              <w:jc w:val="both"/>
              <w:rPr>
                <w:rFonts w:ascii="仿宋" w:hAnsi="仿宋" w:eastAsia="仿宋"/>
              </w:rPr>
            </w:pPr>
            <w:r>
              <w:rPr>
                <w:rFonts w:ascii="仿宋" w:hAnsi="仿宋" w:eastAsia="仿宋"/>
                <w:b/>
              </w:rPr>
              <w:t>700</w:t>
            </w:r>
            <w:r>
              <w:rPr>
                <w:rFonts w:hint="eastAsia" w:ascii="仿宋" w:hAnsi="仿宋" w:eastAsia="仿宋"/>
                <w:b/>
              </w:rPr>
              <w:t>万平方米/年功能性聚乙烯醇P</w:t>
            </w:r>
            <w:r>
              <w:rPr>
                <w:rFonts w:ascii="仿宋" w:hAnsi="仿宋" w:eastAsia="仿宋"/>
                <w:b/>
              </w:rPr>
              <w:t>VA</w:t>
            </w:r>
            <w:r>
              <w:rPr>
                <w:rFonts w:hint="eastAsia" w:ascii="仿宋" w:hAnsi="仿宋" w:eastAsia="仿宋"/>
                <w:b/>
              </w:rPr>
              <w:t>光学膜料：</w:t>
            </w:r>
            <w:r>
              <w:rPr>
                <w:rFonts w:hint="eastAsia" w:ascii="仿宋" w:hAnsi="仿宋" w:eastAsia="仿宋"/>
              </w:rPr>
              <w:t>可</w:t>
            </w:r>
            <w:r>
              <w:rPr>
                <w:rFonts w:ascii="仿宋" w:hAnsi="仿宋" w:eastAsia="仿宋"/>
              </w:rPr>
              <w:t>用于</w:t>
            </w:r>
            <w:r>
              <w:rPr>
                <w:rFonts w:hint="eastAsia" w:ascii="仿宋" w:hAnsi="仿宋" w:eastAsia="仿宋"/>
              </w:rPr>
              <w:t>液晶显示。</w:t>
            </w:r>
          </w:p>
          <w:p>
            <w:pPr>
              <w:widowControl w:val="0"/>
              <w:adjustRightInd w:val="0"/>
              <w:snapToGrid w:val="0"/>
              <w:spacing w:line="360" w:lineRule="auto"/>
              <w:ind w:firstLine="482" w:firstLineChars="200"/>
              <w:jc w:val="both"/>
              <w:rPr>
                <w:rFonts w:ascii="仿宋" w:hAnsi="仿宋" w:eastAsia="仿宋"/>
              </w:rPr>
            </w:pPr>
            <w:r>
              <w:rPr>
                <w:rFonts w:hint="eastAsia" w:ascii="仿宋" w:hAnsi="仿宋" w:eastAsia="仿宋"/>
                <w:b/>
              </w:rPr>
              <w:t>1</w:t>
            </w:r>
            <w:r>
              <w:rPr>
                <w:rFonts w:ascii="仿宋" w:hAnsi="仿宋" w:eastAsia="仿宋"/>
                <w:b/>
              </w:rPr>
              <w:t>0万吨/年</w:t>
            </w:r>
            <w:r>
              <w:rPr>
                <w:rFonts w:hint="eastAsia" w:ascii="仿宋" w:hAnsi="仿宋" w:eastAsia="仿宋"/>
                <w:b/>
              </w:rPr>
              <w:t>无卤高阻燃PC材料：</w:t>
            </w:r>
            <w:r>
              <w:rPr>
                <w:rFonts w:hint="eastAsia" w:ascii="仿宋" w:hAnsi="仿宋" w:eastAsia="仿宋"/>
              </w:rPr>
              <w:t>可</w:t>
            </w:r>
            <w:r>
              <w:rPr>
                <w:rFonts w:ascii="仿宋" w:hAnsi="仿宋" w:eastAsia="仿宋"/>
              </w:rPr>
              <w:t>用于</w:t>
            </w:r>
            <w:r>
              <w:rPr>
                <w:rFonts w:hint="eastAsia" w:ascii="仿宋" w:hAnsi="仿宋" w:eastAsia="仿宋"/>
              </w:rPr>
              <w:t>电子电器壳体、薄壁制品、绝缘薄膜等领域。</w:t>
            </w:r>
          </w:p>
          <w:p>
            <w:pPr>
              <w:widowControl w:val="0"/>
              <w:adjustRightInd w:val="0"/>
              <w:snapToGrid w:val="0"/>
              <w:spacing w:line="360" w:lineRule="auto"/>
              <w:ind w:firstLine="482" w:firstLineChars="200"/>
              <w:jc w:val="both"/>
              <w:rPr>
                <w:rFonts w:ascii="仿宋" w:hAnsi="仿宋" w:eastAsia="仿宋"/>
              </w:rPr>
            </w:pPr>
            <w:r>
              <w:rPr>
                <w:rFonts w:hint="eastAsia" w:ascii="仿宋" w:hAnsi="仿宋" w:eastAsia="仿宋"/>
                <w:b/>
              </w:rPr>
              <w:t>1</w:t>
            </w:r>
            <w:r>
              <w:rPr>
                <w:rFonts w:ascii="仿宋" w:hAnsi="仿宋" w:eastAsia="仿宋"/>
                <w:b/>
              </w:rPr>
              <w:t>0万吨/年</w:t>
            </w:r>
            <w:r>
              <w:rPr>
                <w:rFonts w:hint="eastAsia" w:ascii="仿宋" w:hAnsi="仿宋" w:eastAsia="仿宋"/>
                <w:b/>
              </w:rPr>
              <w:t>玻纤增强PC：</w:t>
            </w:r>
            <w:r>
              <w:rPr>
                <w:rFonts w:hint="eastAsia" w:ascii="仿宋" w:hAnsi="仿宋" w:eastAsia="仿宋"/>
              </w:rPr>
              <w:t>可</w:t>
            </w:r>
            <w:r>
              <w:rPr>
                <w:rFonts w:ascii="仿宋" w:hAnsi="仿宋" w:eastAsia="仿宋"/>
              </w:rPr>
              <w:t>用于</w:t>
            </w:r>
            <w:r>
              <w:rPr>
                <w:rFonts w:hint="eastAsia" w:ascii="仿宋" w:hAnsi="仿宋" w:eastAsia="仿宋"/>
              </w:rPr>
              <w:t>电子电器壳体、轴承保持架、车辆零部件。</w:t>
            </w:r>
          </w:p>
          <w:p>
            <w:pPr>
              <w:widowControl w:val="0"/>
              <w:adjustRightInd w:val="0"/>
              <w:snapToGrid w:val="0"/>
              <w:spacing w:line="360" w:lineRule="auto"/>
              <w:ind w:firstLine="482" w:firstLineChars="200"/>
              <w:jc w:val="both"/>
              <w:rPr>
                <w:rFonts w:ascii="仿宋" w:hAnsi="仿宋" w:eastAsia="仿宋"/>
              </w:rPr>
            </w:pPr>
            <w:r>
              <w:rPr>
                <w:rFonts w:hint="eastAsia" w:ascii="仿宋" w:hAnsi="仿宋" w:eastAsia="仿宋"/>
                <w:b/>
              </w:rPr>
              <w:t>1</w:t>
            </w:r>
            <w:r>
              <w:rPr>
                <w:rFonts w:ascii="仿宋" w:hAnsi="仿宋" w:eastAsia="仿宋"/>
                <w:b/>
              </w:rPr>
              <w:t>0万吨/年</w:t>
            </w:r>
            <w:r>
              <w:rPr>
                <w:rFonts w:hint="eastAsia" w:ascii="仿宋" w:hAnsi="仿宋" w:eastAsia="仿宋"/>
                <w:b/>
              </w:rPr>
              <w:t>PC/PBT合金：</w:t>
            </w:r>
            <w:r>
              <w:rPr>
                <w:rFonts w:ascii="仿宋" w:hAnsi="仿宋" w:eastAsia="仿宋"/>
              </w:rPr>
              <w:t>用于</w:t>
            </w:r>
            <w:r>
              <w:rPr>
                <w:rFonts w:hint="eastAsia" w:ascii="仿宋" w:hAnsi="仿宋" w:eastAsia="仿宋"/>
              </w:rPr>
              <w:t>汽车门把手、中控仪表台板、保险杠、行李支座。</w:t>
            </w:r>
          </w:p>
          <w:p>
            <w:pPr>
              <w:widowControl w:val="0"/>
              <w:adjustRightInd w:val="0"/>
              <w:snapToGrid w:val="0"/>
              <w:spacing w:line="360" w:lineRule="auto"/>
              <w:ind w:firstLine="482" w:firstLineChars="200"/>
              <w:jc w:val="both"/>
              <w:rPr>
                <w:rFonts w:ascii="仿宋" w:hAnsi="仿宋" w:eastAsia="仿宋"/>
              </w:rPr>
            </w:pPr>
            <w:r>
              <w:rPr>
                <w:rFonts w:hint="eastAsia" w:ascii="仿宋" w:hAnsi="仿宋" w:eastAsia="仿宋"/>
                <w:b/>
              </w:rPr>
              <w:t>10万吨/年PC/ABS合金：</w:t>
            </w:r>
            <w:r>
              <w:rPr>
                <w:rFonts w:hint="eastAsia" w:ascii="仿宋" w:hAnsi="仿宋" w:eastAsia="仿宋"/>
              </w:rPr>
              <w:t>可用于汽车门把手、中控总成、格栅、保险杠、显示器壳体、仪表壳体。</w:t>
            </w:r>
          </w:p>
          <w:p>
            <w:pPr>
              <w:widowControl w:val="0"/>
              <w:adjustRightInd w:val="0"/>
              <w:snapToGrid w:val="0"/>
              <w:spacing w:line="360" w:lineRule="auto"/>
              <w:ind w:firstLine="482" w:firstLineChars="200"/>
              <w:jc w:val="both"/>
              <w:rPr>
                <w:rFonts w:ascii="仿宋" w:hAnsi="仿宋" w:eastAsia="仿宋"/>
              </w:rPr>
            </w:pPr>
            <w:r>
              <w:rPr>
                <w:rFonts w:ascii="仿宋" w:hAnsi="仿宋" w:eastAsia="仿宋"/>
                <w:b/>
              </w:rPr>
              <w:t>2万吨/年</w:t>
            </w:r>
            <w:r>
              <w:rPr>
                <w:rFonts w:hint="eastAsia" w:ascii="仿宋" w:hAnsi="仿宋" w:eastAsia="仿宋"/>
                <w:b/>
              </w:rPr>
              <w:t>阻燃增强P</w:t>
            </w:r>
            <w:r>
              <w:rPr>
                <w:rFonts w:ascii="仿宋" w:hAnsi="仿宋" w:eastAsia="仿宋"/>
                <w:b/>
              </w:rPr>
              <w:t>BT</w:t>
            </w:r>
            <w:r>
              <w:rPr>
                <w:rFonts w:hint="eastAsia" w:ascii="仿宋" w:hAnsi="仿宋" w:eastAsia="仿宋"/>
                <w:b/>
              </w:rPr>
              <w:t>：</w:t>
            </w:r>
            <w:r>
              <w:rPr>
                <w:rFonts w:hint="eastAsia" w:ascii="仿宋" w:hAnsi="仿宋" w:eastAsia="仿宋"/>
              </w:rPr>
              <w:t>可用于电子接插件、继电器开关、线圈骨架、节能灯外壳。</w:t>
            </w:r>
          </w:p>
          <w:p>
            <w:pPr>
              <w:widowControl w:val="0"/>
              <w:adjustRightInd w:val="0"/>
              <w:snapToGrid w:val="0"/>
              <w:spacing w:line="360" w:lineRule="auto"/>
              <w:ind w:firstLine="482" w:firstLineChars="200"/>
              <w:jc w:val="both"/>
              <w:rPr>
                <w:rFonts w:ascii="仿宋" w:hAnsi="仿宋" w:eastAsia="仿宋"/>
                <w:sz w:val="30"/>
                <w:szCs w:val="30"/>
              </w:rPr>
            </w:pPr>
            <w:r>
              <w:rPr>
                <w:rFonts w:ascii="仿宋" w:hAnsi="仿宋" w:eastAsia="仿宋"/>
                <w:b/>
              </w:rPr>
              <w:t>2万吨/年</w:t>
            </w:r>
            <w:r>
              <w:rPr>
                <w:rFonts w:hint="eastAsia" w:ascii="仿宋" w:hAnsi="仿宋" w:eastAsia="仿宋"/>
                <w:b/>
              </w:rPr>
              <w:t>玻纤增强P</w:t>
            </w:r>
            <w:r>
              <w:rPr>
                <w:rFonts w:ascii="仿宋" w:hAnsi="仿宋" w:eastAsia="仿宋"/>
                <w:b/>
              </w:rPr>
              <w:t>BT</w:t>
            </w:r>
            <w:r>
              <w:rPr>
                <w:rFonts w:hint="eastAsia" w:ascii="仿宋" w:hAnsi="仿宋" w:eastAsia="仿宋"/>
                <w:b/>
              </w:rPr>
              <w:t>：</w:t>
            </w:r>
            <w:r>
              <w:rPr>
                <w:rFonts w:hint="eastAsia" w:ascii="仿宋" w:hAnsi="仿宋" w:eastAsia="仿宋"/>
              </w:rPr>
              <w:t>可用于连接器、开关零件、家用、电动罩盖、汽车格栅、机械齿轮等。</w:t>
            </w:r>
          </w:p>
        </w:tc>
      </w:tr>
    </w:tbl>
    <w:p>
      <w:pPr>
        <w:shd w:val="clear" w:color="auto" w:fill="FFFFFF"/>
        <w:adjustRightInd w:val="0"/>
        <w:snapToGrid w:val="0"/>
        <w:spacing w:line="360" w:lineRule="auto"/>
        <w:ind w:firstLine="600" w:firstLineChars="200"/>
        <w:rPr>
          <w:rFonts w:ascii="仿宋" w:hAnsi="仿宋" w:eastAsia="仿宋"/>
          <w:sz w:val="30"/>
          <w:szCs w:val="30"/>
        </w:rPr>
      </w:pP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22" w:type="dxa"/>
          </w:tcPr>
          <w:p>
            <w:pPr>
              <w:pStyle w:val="154"/>
              <w:adjustRightInd w:val="0"/>
              <w:snapToGrid w:val="0"/>
              <w:spacing w:beforeLines="50" w:line="360" w:lineRule="auto"/>
              <w:jc w:val="center"/>
              <w:outlineLvl w:val="2"/>
              <w:rPr>
                <w:rFonts w:ascii="黑体" w:hAnsi="黑体" w:eastAsia="黑体"/>
                <w:sz w:val="30"/>
                <w:szCs w:val="30"/>
              </w:rPr>
            </w:pPr>
            <w:r>
              <w:rPr>
                <w:rFonts w:hint="eastAsia" w:ascii="黑体" w:hAnsi="黑体" w:eastAsia="黑体" w:cstheme="minorBidi"/>
                <w:sz w:val="28"/>
                <w:szCs w:val="28"/>
              </w:rPr>
              <w:t>专栏4-8 新材料产业目标招引企业</w:t>
            </w:r>
            <w:r>
              <w:rPr>
                <w:rFonts w:hint="eastAsia" w:ascii="黑体" w:hAnsi="黑体" w:eastAsia="黑体"/>
                <w:sz w:val="30"/>
                <w:szCs w:val="30"/>
              </w:rPr>
              <w:t xml:space="preserve"> </w:t>
            </w:r>
          </w:p>
          <w:p>
            <w:pPr>
              <w:widowControl w:val="0"/>
              <w:adjustRightInd w:val="0"/>
              <w:snapToGrid w:val="0"/>
              <w:spacing w:line="360" w:lineRule="auto"/>
              <w:ind w:firstLine="480" w:firstLineChars="200"/>
              <w:jc w:val="both"/>
              <w:rPr>
                <w:rFonts w:ascii="仿宋" w:hAnsi="仿宋" w:eastAsia="仿宋"/>
                <w:sz w:val="30"/>
                <w:szCs w:val="30"/>
              </w:rPr>
            </w:pPr>
            <w:r>
              <w:rPr>
                <w:rFonts w:hint="eastAsia" w:ascii="仿宋" w:hAnsi="仿宋" w:eastAsia="仿宋"/>
              </w:rPr>
              <w:t>江苏博云、国恩股份、聚石化学</w:t>
            </w:r>
            <w:r>
              <w:rPr>
                <w:rFonts w:ascii="仿宋" w:hAnsi="仿宋" w:eastAsia="仿宋"/>
              </w:rPr>
              <w:t xml:space="preserve"> </w:t>
            </w:r>
            <w:r>
              <w:rPr>
                <w:rFonts w:hint="eastAsia" w:ascii="仿宋" w:hAnsi="仿宋" w:eastAsia="仿宋"/>
              </w:rPr>
              <w:t>、金发科技、奇德新材、道恩股份、南京聚隆</w:t>
            </w:r>
            <w:r>
              <w:rPr>
                <w:rFonts w:ascii="仿宋" w:hAnsi="仿宋" w:eastAsia="仿宋"/>
              </w:rPr>
              <w:t xml:space="preserve"> </w:t>
            </w:r>
            <w:r>
              <w:rPr>
                <w:rFonts w:hint="eastAsia" w:ascii="仿宋" w:hAnsi="仿宋" w:eastAsia="仿宋"/>
              </w:rPr>
              <w:t>、沃特股份、银禧科技等国内知名改性塑料生产企业。</w:t>
            </w:r>
          </w:p>
        </w:tc>
      </w:tr>
    </w:tbl>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39" w:name="_Toc91676439"/>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r>
        <w:rPr>
          <w:rFonts w:hint="eastAsia" w:ascii="黑体" w:hAnsi="黑体" w:eastAsia="黑体" w:cs="Times New Roman"/>
          <w:bCs w:val="0"/>
          <w:color w:val="000000"/>
        </w:rPr>
        <w:t xml:space="preserve">第四节 </w:t>
      </w:r>
      <w:r>
        <w:rPr>
          <w:rFonts w:ascii="黑体" w:hAnsi="黑体" w:eastAsia="黑体" w:cs="Times New Roman"/>
          <w:bCs w:val="0"/>
          <w:color w:val="000000"/>
        </w:rPr>
        <w:t xml:space="preserve"> </w:t>
      </w:r>
      <w:r>
        <w:rPr>
          <w:rFonts w:hint="eastAsia" w:ascii="黑体" w:hAnsi="黑体" w:eastAsia="黑体" w:cs="Times New Roman"/>
          <w:bCs w:val="0"/>
          <w:color w:val="000000"/>
        </w:rPr>
        <w:t>提升发展装备制造产业</w:t>
      </w:r>
      <w:bookmarkEnd w:id="39"/>
    </w:p>
    <w:p>
      <w:pPr>
        <w:adjustRightInd w:val="0"/>
        <w:snapToGrid w:val="0"/>
        <w:spacing w:line="360" w:lineRule="auto"/>
        <w:rPr>
          <w:rFonts w:ascii="黑体" w:hAnsi="黑体" w:eastAsia="黑体"/>
          <w:sz w:val="32"/>
          <w:szCs w:val="32"/>
        </w:rPr>
      </w:pPr>
      <w:r>
        <w:rPr>
          <w:rFonts w:hint="eastAsia" w:ascii="黑体" w:hAnsi="黑体" w:eastAsia="黑体"/>
          <w:sz w:val="32"/>
          <w:szCs w:val="32"/>
        </w:rPr>
        <w:t>一、发展条件</w:t>
      </w:r>
    </w:p>
    <w:p>
      <w:pPr>
        <w:adjustRightInd w:val="0"/>
        <w:snapToGrid w:val="0"/>
        <w:spacing w:line="360" w:lineRule="auto"/>
        <w:ind w:firstLine="602" w:firstLineChars="200"/>
        <w:rPr>
          <w:rFonts w:ascii="仿宋" w:hAnsi="仿宋" w:eastAsia="仿宋" w:cs="Times New Roman"/>
          <w:color w:val="FF0000"/>
          <w:sz w:val="30"/>
          <w:szCs w:val="30"/>
        </w:rPr>
      </w:pPr>
      <w:r>
        <w:rPr>
          <w:rFonts w:ascii="仿宋" w:hAnsi="仿宋" w:eastAsia="仿宋" w:cstheme="minorBidi"/>
          <w:b/>
          <w:sz w:val="30"/>
          <w:szCs w:val="30"/>
        </w:rPr>
        <w:t>具有一定的发展基础</w:t>
      </w:r>
      <w:r>
        <w:rPr>
          <w:rFonts w:hint="eastAsia" w:ascii="仿宋" w:hAnsi="仿宋" w:eastAsia="仿宋" w:cstheme="minorBidi"/>
          <w:b/>
          <w:sz w:val="30"/>
          <w:szCs w:val="30"/>
        </w:rPr>
        <w:t>。</w:t>
      </w:r>
      <w:r>
        <w:rPr>
          <w:rFonts w:ascii="仿宋" w:hAnsi="仿宋" w:eastAsia="仿宋" w:cs="Times New Roman"/>
          <w:sz w:val="30"/>
          <w:szCs w:val="30"/>
        </w:rPr>
        <w:t>泸州市作为传统的工程机械制造基地，近年来因为各种原因传统的工程机械企业不断向外溢出；泸县经开区是承接泸州市工程机械产业的重要园区之一。目前园区规模以上装备制造企业有9家，涉及油缸、机械、管道、重型车桥、阀门、模具、活塞环等，已初具规模。</w:t>
      </w:r>
    </w:p>
    <w:p>
      <w:pPr>
        <w:adjustRightInd w:val="0"/>
        <w:snapToGrid w:val="0"/>
        <w:spacing w:line="360" w:lineRule="auto"/>
        <w:ind w:firstLine="602" w:firstLineChars="200"/>
        <w:rPr>
          <w:rFonts w:ascii="仿宋" w:hAnsi="仿宋" w:eastAsia="仿宋"/>
          <w:sz w:val="30"/>
          <w:szCs w:val="30"/>
        </w:rPr>
      </w:pPr>
      <w:r>
        <w:rPr>
          <w:rFonts w:ascii="仿宋" w:hAnsi="仿宋" w:eastAsia="仿宋" w:cstheme="minorBidi"/>
          <w:b/>
          <w:sz w:val="30"/>
          <w:szCs w:val="30"/>
        </w:rPr>
        <w:t>成渝地区双城经济圈建设带来新契机</w:t>
      </w:r>
      <w:r>
        <w:rPr>
          <w:rFonts w:hint="eastAsia" w:ascii="仿宋" w:hAnsi="仿宋" w:eastAsia="仿宋" w:cstheme="minorBidi"/>
          <w:b/>
          <w:sz w:val="30"/>
          <w:szCs w:val="30"/>
        </w:rPr>
        <w:t>。</w:t>
      </w:r>
      <w:r>
        <w:rPr>
          <w:rFonts w:ascii="仿宋" w:hAnsi="仿宋" w:eastAsia="仿宋"/>
          <w:sz w:val="30"/>
          <w:szCs w:val="30"/>
        </w:rPr>
        <w:t>当前，成渝地区正共同打造世界级先进制造业集群。园区可充分发挥现有的交通、区位、基础设施优势，主动接受成渝地区双城经济圈建设中先进制造业布局的契机，着力发挥自身在制造环节功能的作用，吸引相关企业入驻。</w:t>
      </w:r>
    </w:p>
    <w:p>
      <w:pPr>
        <w:adjustRightInd w:val="0"/>
        <w:snapToGrid w:val="0"/>
        <w:spacing w:line="360" w:lineRule="auto"/>
        <w:ind w:firstLine="602" w:firstLineChars="200"/>
        <w:rPr>
          <w:rFonts w:ascii="仿宋" w:hAnsi="仿宋" w:eastAsia="仿宋" w:cs="Times New Roman"/>
          <w:sz w:val="30"/>
          <w:szCs w:val="30"/>
        </w:rPr>
      </w:pPr>
      <w:r>
        <w:rPr>
          <w:rFonts w:ascii="仿宋" w:hAnsi="仿宋" w:eastAsia="仿宋" w:cstheme="minorBidi"/>
          <w:b/>
          <w:sz w:val="30"/>
          <w:szCs w:val="30"/>
        </w:rPr>
        <w:t>较好的要素支撑</w:t>
      </w:r>
      <w:r>
        <w:rPr>
          <w:rFonts w:hint="eastAsia" w:ascii="仿宋" w:hAnsi="仿宋" w:eastAsia="仿宋" w:cstheme="minorBidi"/>
          <w:b/>
          <w:sz w:val="30"/>
          <w:szCs w:val="30"/>
        </w:rPr>
        <w:t>。</w:t>
      </w:r>
      <w:r>
        <w:rPr>
          <w:rFonts w:ascii="仿宋" w:hAnsi="仿宋" w:eastAsia="仿宋" w:cs="Times New Roman"/>
          <w:sz w:val="30"/>
          <w:szCs w:val="30"/>
        </w:rPr>
        <w:t>泸州市作为传统的工程机械制造基地，拥有大量的从事工程机械的产业工人；同时，近年来泸州市制造业发展迅速，以工程机械、白酒酿造、物流等产业的发展对上游机械行业带来了较大的市场需求。因此，从要素与市场视角，园区具有发展装备制造的要素基础。</w:t>
      </w:r>
    </w:p>
    <w:p>
      <w:pPr>
        <w:adjustRightInd w:val="0"/>
        <w:snapToGrid w:val="0"/>
        <w:spacing w:line="360" w:lineRule="auto"/>
        <w:rPr>
          <w:rFonts w:ascii="黑体" w:hAnsi="黑体" w:eastAsia="黑体"/>
          <w:sz w:val="32"/>
          <w:szCs w:val="32"/>
        </w:rPr>
      </w:pPr>
      <w:r>
        <w:rPr>
          <w:rFonts w:hint="eastAsia" w:ascii="黑体" w:hAnsi="黑体" w:eastAsia="黑体"/>
          <w:sz w:val="32"/>
          <w:szCs w:val="32"/>
        </w:rPr>
        <w:t>二、发展思路与目标</w:t>
      </w:r>
    </w:p>
    <w:p>
      <w:pPr>
        <w:pStyle w:val="27"/>
        <w:shd w:val="clear" w:color="auto" w:fill="FFFFFF"/>
        <w:autoSpaceDE w:val="0"/>
        <w:adjustRightInd w:val="0"/>
        <w:snapToGrid w:val="0"/>
        <w:spacing w:before="0" w:beforeAutospacing="0" w:after="0" w:afterAutospacing="0" w:line="360"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围绕周边装备制造产业、白酒、物流等传统产业发展需要，以传统产业的机械化、智能化、信息化改造为突破口，以市场带动智能装备产业发展。</w:t>
      </w:r>
    </w:p>
    <w:p>
      <w:pPr>
        <w:shd w:val="clear" w:color="auto" w:fill="FFFFFF"/>
        <w:adjustRightInd w:val="0"/>
        <w:snapToGrid w:val="0"/>
        <w:spacing w:line="360" w:lineRule="auto"/>
        <w:ind w:firstLine="600" w:firstLineChars="200"/>
        <w:rPr>
          <w:rFonts w:hAnsi="仿宋" w:eastAsia="仿宋"/>
          <w:sz w:val="30"/>
          <w:szCs w:val="30"/>
        </w:rPr>
      </w:pPr>
      <w:r>
        <w:rPr>
          <w:rFonts w:hAnsi="仿宋" w:eastAsia="仿宋"/>
          <w:sz w:val="30"/>
          <w:szCs w:val="30"/>
        </w:rPr>
        <w:t>到</w:t>
      </w:r>
      <w:r>
        <w:rPr>
          <w:rFonts w:eastAsia="仿宋"/>
          <w:sz w:val="30"/>
          <w:szCs w:val="30"/>
        </w:rPr>
        <w:t>2025年，新引进企业10户以上，建成较完善的装备制造产业集群；力争装备制造产业产值突破</w:t>
      </w:r>
      <w:r>
        <w:rPr>
          <w:rFonts w:hint="eastAsia" w:eastAsia="仿宋"/>
          <w:sz w:val="30"/>
          <w:szCs w:val="30"/>
        </w:rPr>
        <w:t>30</w:t>
      </w:r>
      <w:r>
        <w:rPr>
          <w:rFonts w:eastAsia="仿宋"/>
          <w:sz w:val="30"/>
          <w:szCs w:val="30"/>
        </w:rPr>
        <w:t>亿元，培育和引进10亿元企业1户，5亿元企业2户</w:t>
      </w:r>
      <w:r>
        <w:rPr>
          <w:rFonts w:hAnsi="仿宋" w:eastAsia="仿宋"/>
          <w:sz w:val="30"/>
          <w:szCs w:val="30"/>
        </w:rPr>
        <w:t>以上，形成川南地区装备制造产业的特色集聚区。</w:t>
      </w:r>
    </w:p>
    <w:p>
      <w:pPr>
        <w:adjustRightInd w:val="0"/>
        <w:snapToGrid w:val="0"/>
        <w:spacing w:line="360" w:lineRule="auto"/>
        <w:rPr>
          <w:rFonts w:ascii="黑体" w:hAnsi="黑体" w:eastAsia="黑体"/>
          <w:sz w:val="32"/>
          <w:szCs w:val="32"/>
        </w:rPr>
      </w:pPr>
      <w:r>
        <w:rPr>
          <w:rFonts w:hint="eastAsia" w:ascii="黑体" w:hAnsi="黑体" w:eastAsia="黑体"/>
          <w:sz w:val="32"/>
          <w:szCs w:val="32"/>
        </w:rPr>
        <w:t>三、发展重点</w:t>
      </w:r>
    </w:p>
    <w:p>
      <w:pPr>
        <w:shd w:val="clear" w:color="auto" w:fill="FFFFFF"/>
        <w:adjustRightInd w:val="0"/>
        <w:snapToGrid w:val="0"/>
        <w:spacing w:line="360" w:lineRule="auto"/>
        <w:ind w:firstLine="600" w:firstLineChars="200"/>
        <w:rPr>
          <w:rFonts w:ascii="黑体" w:hAnsi="黑体" w:eastAsia="黑体"/>
          <w:sz w:val="30"/>
          <w:szCs w:val="30"/>
        </w:rPr>
      </w:pPr>
      <w:r>
        <w:rPr>
          <w:rFonts w:hint="eastAsia" w:ascii="黑体" w:hAnsi="黑体" w:eastAsia="黑体"/>
          <w:sz w:val="30"/>
          <w:szCs w:val="30"/>
        </w:rPr>
        <w:t>1、大力推进传统机械产业向高端装备制造转变</w:t>
      </w:r>
    </w:p>
    <w:p>
      <w:pPr>
        <w:adjustRightInd w:val="0"/>
        <w:snapToGrid w:val="0"/>
        <w:spacing w:line="360" w:lineRule="auto"/>
        <w:ind w:firstLine="600" w:firstLineChars="200"/>
      </w:pPr>
      <w:r>
        <w:rPr>
          <w:rFonts w:hint="eastAsia" w:ascii="仿宋" w:hAnsi="仿宋" w:eastAsia="仿宋"/>
          <w:sz w:val="30"/>
          <w:szCs w:val="30"/>
        </w:rPr>
        <w:t>从目前看，开发区与装备制造相关联的产业均为传统制造产业，竞争力相对较弱。因此在推动产业转型升级的过程中，可基于开发区已有的产业基础优势，瞄准国家重点支持和市场前景广阔、需求量大的装备制造领域，实施产业转型升级。</w:t>
      </w:r>
    </w:p>
    <w:p>
      <w:pPr>
        <w:adjustRightInd w:val="0"/>
        <w:snapToGrid w:val="0"/>
        <w:spacing w:line="360" w:lineRule="auto"/>
        <w:ind w:firstLine="600" w:firstLineChars="200"/>
        <w:rPr>
          <w:rFonts w:ascii="黑体" w:hAnsi="黑体" w:eastAsia="黑体"/>
          <w:sz w:val="30"/>
          <w:szCs w:val="30"/>
        </w:rPr>
      </w:pPr>
      <w:r>
        <w:rPr>
          <w:rFonts w:hint="eastAsia" w:ascii="黑体" w:hAnsi="黑体" w:eastAsia="黑体"/>
          <w:sz w:val="30"/>
          <w:szCs w:val="30"/>
        </w:rPr>
        <w:t>2、积极争取高端装备制造总装落户园区</w:t>
      </w:r>
    </w:p>
    <w:p>
      <w:pPr>
        <w:shd w:val="clear" w:color="auto" w:fill="FFFFFF"/>
        <w:adjustRightInd w:val="0"/>
        <w:snapToGrid w:val="0"/>
        <w:spacing w:line="360" w:lineRule="auto"/>
        <w:ind w:firstLine="600" w:firstLineChars="200"/>
        <w:rPr>
          <w:rFonts w:ascii="仿宋" w:hAnsi="仿宋" w:eastAsia="仿宋"/>
          <w:sz w:val="30"/>
          <w:szCs w:val="30"/>
        </w:rPr>
      </w:pPr>
      <w:r>
        <w:rPr>
          <w:rFonts w:hint="eastAsia" w:ascii="仿宋" w:hAnsi="仿宋" w:eastAsia="仿宋"/>
          <w:sz w:val="30"/>
          <w:szCs w:val="30"/>
        </w:rPr>
        <w:t>充分利用地产成渝结合部的区位优势和交通优势，积极吸引适合水路运输的装备制造总装、零部件等产业入驻，以成为成渝地区双城经济圈装备制造业的基地。</w:t>
      </w:r>
    </w:p>
    <w:p>
      <w:pPr>
        <w:adjustRightInd w:val="0"/>
        <w:snapToGrid w:val="0"/>
        <w:spacing w:line="360" w:lineRule="auto"/>
        <w:ind w:firstLine="600" w:firstLineChars="200"/>
        <w:rPr>
          <w:rFonts w:ascii="黑体" w:hAnsi="黑体" w:eastAsia="黑体"/>
          <w:sz w:val="30"/>
          <w:szCs w:val="30"/>
        </w:rPr>
      </w:pPr>
      <w:r>
        <w:rPr>
          <w:rFonts w:hint="eastAsia" w:ascii="黑体" w:hAnsi="黑体" w:eastAsia="黑体"/>
          <w:sz w:val="30"/>
          <w:szCs w:val="30"/>
        </w:rPr>
        <w:t>3、引进一批装备制造装备研制和产业化重点项目</w:t>
      </w:r>
    </w:p>
    <w:p>
      <w:pPr>
        <w:shd w:val="clear" w:color="auto" w:fill="FFFFFF"/>
        <w:adjustRightInd w:val="0"/>
        <w:snapToGrid w:val="0"/>
        <w:spacing w:line="360" w:lineRule="auto"/>
        <w:ind w:firstLine="600" w:firstLineChars="200"/>
        <w:rPr>
          <w:rFonts w:ascii="仿宋" w:hAnsi="仿宋" w:eastAsia="仿宋"/>
          <w:sz w:val="30"/>
          <w:szCs w:val="30"/>
        </w:rPr>
      </w:pPr>
      <w:r>
        <w:rPr>
          <w:rFonts w:hint="eastAsia" w:ascii="仿宋" w:hAnsi="仿宋" w:eastAsia="仿宋"/>
          <w:sz w:val="30"/>
          <w:szCs w:val="30"/>
        </w:rPr>
        <w:t>支持骨干企业申报国家和省级装备制造应用项目，争取相关政策支持，引进一批装备研发和产业化项目，为企业实施以装备制造为重点的技术改造提供引领示范。依托泸县乃至整个川南地区丰富的页岩气资源，引进页岩气钻采设备项目入驻园区。</w:t>
      </w:r>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40" w:name="_Toc91676440"/>
      <w:r>
        <w:rPr>
          <w:rFonts w:hint="eastAsia" w:ascii="黑体" w:hAnsi="黑体" w:eastAsia="黑体" w:cs="Times New Roman"/>
          <w:bCs w:val="0"/>
          <w:color w:val="000000"/>
        </w:rPr>
        <w:t xml:space="preserve">第五节 </w:t>
      </w:r>
      <w:r>
        <w:rPr>
          <w:rFonts w:ascii="黑体" w:hAnsi="黑体" w:eastAsia="黑体" w:cs="Times New Roman"/>
          <w:bCs w:val="0"/>
          <w:color w:val="000000"/>
        </w:rPr>
        <w:t xml:space="preserve"> </w:t>
      </w:r>
      <w:r>
        <w:rPr>
          <w:rFonts w:hint="eastAsia" w:ascii="黑体" w:hAnsi="黑体" w:eastAsia="黑体" w:cs="Times New Roman"/>
          <w:bCs w:val="0"/>
          <w:color w:val="000000"/>
        </w:rPr>
        <w:t>积极发展电子信息产业</w:t>
      </w:r>
      <w:bookmarkEnd w:id="40"/>
    </w:p>
    <w:p>
      <w:pPr>
        <w:adjustRightInd w:val="0"/>
        <w:snapToGrid w:val="0"/>
        <w:spacing w:line="360" w:lineRule="auto"/>
        <w:rPr>
          <w:rFonts w:ascii="黑体" w:hAnsi="黑体" w:eastAsia="黑体"/>
          <w:sz w:val="32"/>
          <w:szCs w:val="32"/>
        </w:rPr>
      </w:pPr>
      <w:r>
        <w:rPr>
          <w:rFonts w:hint="eastAsia" w:ascii="黑体" w:hAnsi="黑体" w:eastAsia="黑体"/>
          <w:sz w:val="32"/>
          <w:szCs w:val="32"/>
        </w:rPr>
        <w:t>一、发展条件</w:t>
      </w:r>
    </w:p>
    <w:p>
      <w:pPr>
        <w:adjustRightInd w:val="0"/>
        <w:snapToGrid w:val="0"/>
        <w:spacing w:line="360" w:lineRule="auto"/>
        <w:ind w:firstLine="602" w:firstLineChars="200"/>
        <w:rPr>
          <w:rFonts w:ascii="仿宋" w:hAnsi="仿宋" w:eastAsia="仿宋" w:cstheme="minorBidi"/>
          <w:sz w:val="30"/>
          <w:szCs w:val="30"/>
        </w:rPr>
      </w:pPr>
      <w:r>
        <w:rPr>
          <w:rFonts w:hint="eastAsia" w:ascii="仿宋" w:hAnsi="仿宋" w:eastAsia="仿宋" w:cstheme="minorBidi"/>
          <w:b/>
          <w:sz w:val="30"/>
          <w:szCs w:val="30"/>
        </w:rPr>
        <w:t>具有一定的产业基础。</w:t>
      </w:r>
      <w:r>
        <w:rPr>
          <w:rFonts w:hint="eastAsia" w:ascii="仿宋" w:hAnsi="仿宋" w:eastAsia="仿宋" w:cstheme="minorBidi"/>
          <w:sz w:val="30"/>
          <w:szCs w:val="30"/>
        </w:rPr>
        <w:t>近年来，园区加大招商引资力度，招引了一批具有较好发展前景的电子信息企业，目前园区电子信息类企业已聚集十余家。</w:t>
      </w:r>
    </w:p>
    <w:p>
      <w:pPr>
        <w:adjustRightInd w:val="0"/>
        <w:snapToGrid w:val="0"/>
        <w:spacing w:line="360" w:lineRule="auto"/>
        <w:ind w:firstLine="602" w:firstLineChars="200"/>
        <w:rPr>
          <w:rFonts w:ascii="仿宋" w:hAnsi="仿宋" w:eastAsia="仿宋"/>
          <w:sz w:val="30"/>
          <w:szCs w:val="30"/>
        </w:rPr>
      </w:pPr>
      <w:r>
        <w:rPr>
          <w:rFonts w:hint="eastAsia" w:ascii="仿宋" w:hAnsi="仿宋" w:eastAsia="仿宋" w:cstheme="minorBidi"/>
          <w:b/>
          <w:sz w:val="30"/>
          <w:szCs w:val="30"/>
        </w:rPr>
        <w:t>较好的外部市场需求。</w:t>
      </w:r>
      <w:r>
        <w:rPr>
          <w:rFonts w:hint="eastAsia" w:ascii="仿宋" w:hAnsi="仿宋" w:eastAsia="仿宋" w:cs="Times New Roman"/>
          <w:kern w:val="2"/>
          <w:sz w:val="30"/>
          <w:szCs w:val="30"/>
        </w:rPr>
        <w:t>良好的周边市场是区域产业竞争力的关键要素之一。泸县地处成渝交界处，是成渝地区双城经济圈建设的重要区域，也是最容易接受成渝两地电子信息产业辐射的区域。近年来，成渝两地都将电子信息产业作为支柱产业打造，并已形成较大的产业规模。</w:t>
      </w:r>
      <w:r>
        <w:rPr>
          <w:rFonts w:ascii="仿宋" w:hAnsi="仿宋" w:eastAsia="仿宋"/>
          <w:sz w:val="30"/>
          <w:szCs w:val="30"/>
        </w:rPr>
        <w:t>截至</w:t>
      </w:r>
      <w:r>
        <w:rPr>
          <w:rFonts w:ascii="Times New Roman" w:hAnsi="Times New Roman" w:eastAsia="仿宋" w:cs="Times New Roman"/>
          <w:sz w:val="30"/>
          <w:szCs w:val="30"/>
        </w:rPr>
        <w:t>20</w:t>
      </w:r>
      <w:r>
        <w:rPr>
          <w:rFonts w:hint="eastAsia" w:ascii="Times New Roman" w:hAnsi="Times New Roman" w:eastAsia="仿宋" w:cs="Times New Roman"/>
          <w:sz w:val="30"/>
          <w:szCs w:val="30"/>
        </w:rPr>
        <w:t>20</w:t>
      </w:r>
      <w:r>
        <w:rPr>
          <w:rFonts w:ascii="Times New Roman" w:hAnsi="Times New Roman" w:eastAsia="仿宋" w:cs="Times New Roman"/>
          <w:sz w:val="30"/>
          <w:szCs w:val="30"/>
        </w:rPr>
        <w:t>年末，成渝电子信息总规模已经达到1.5万亿元（硬件部分1.1万亿元、软件部分4500亿元</w:t>
      </w:r>
      <w:r>
        <w:rPr>
          <w:rFonts w:ascii="仿宋" w:hAnsi="仿宋" w:eastAsia="仿宋"/>
          <w:sz w:val="30"/>
          <w:szCs w:val="30"/>
        </w:rPr>
        <w:t>）</w:t>
      </w:r>
      <w:r>
        <w:rPr>
          <w:rFonts w:hint="eastAsia" w:ascii="仿宋" w:hAnsi="仿宋" w:eastAsia="仿宋"/>
          <w:sz w:val="30"/>
          <w:szCs w:val="30"/>
        </w:rPr>
        <w:t>；并且在“芯、屏、器、核、网”</w:t>
      </w:r>
      <w:r>
        <w:rPr>
          <w:rFonts w:ascii="仿宋" w:hAnsi="仿宋" w:eastAsia="仿宋"/>
          <w:sz w:val="30"/>
          <w:szCs w:val="30"/>
        </w:rPr>
        <w:t>等细分领域具有相对优势</w:t>
      </w:r>
      <w:r>
        <w:rPr>
          <w:rFonts w:hint="eastAsia" w:ascii="仿宋" w:hAnsi="仿宋" w:eastAsia="仿宋"/>
          <w:sz w:val="30"/>
          <w:szCs w:val="30"/>
        </w:rPr>
        <w:t>，已经成为全国重要的电子信息产业基地；并且京东方、华为、联想、仁宝等大型电子信息企业在成渝两地均设有生产工厂。因此，园区完全可以承接电子信息部分制造功能，借助成渝地区电子信息产业发展东风，实现园区的快速发展。与此同时，近年来泸州市也充分利用自贸区的政策优势以及泸州市的区位优势，在与电子信息密切相关的智能终端产业集群方面取得了突破，为园区电子信息产业发展提供了较好的支撑。</w:t>
      </w:r>
    </w:p>
    <w:p>
      <w:pPr>
        <w:adjustRightInd w:val="0"/>
        <w:snapToGrid w:val="0"/>
        <w:spacing w:line="360" w:lineRule="auto"/>
        <w:ind w:firstLine="602" w:firstLineChars="200"/>
        <w:rPr>
          <w:rFonts w:ascii="仿宋" w:hAnsi="仿宋" w:eastAsia="仿宋"/>
          <w:sz w:val="30"/>
          <w:szCs w:val="30"/>
        </w:rPr>
      </w:pPr>
      <w:r>
        <w:rPr>
          <w:rFonts w:hint="eastAsia" w:ascii="仿宋" w:hAnsi="仿宋" w:eastAsia="仿宋" w:cstheme="minorBidi"/>
          <w:b/>
          <w:sz w:val="30"/>
          <w:szCs w:val="30"/>
        </w:rPr>
        <w:t>便捷的交通区位。</w:t>
      </w:r>
      <w:r>
        <w:rPr>
          <w:rFonts w:hint="eastAsia" w:ascii="仿宋" w:hAnsi="仿宋" w:eastAsia="仿宋"/>
          <w:sz w:val="30"/>
          <w:szCs w:val="30"/>
        </w:rPr>
        <w:t>园区具有较为便捷的交通区位条件，除开毗邻港口可与重庆及长江中下游地区实现水路对接之外；园区还可通过成都市青白江国际铁路物流港的蓉欧快铁快速抵达欧洲沿线国家，为园区电子信息产业实现外向型发展奠定了坚实基础。</w:t>
      </w:r>
    </w:p>
    <w:p>
      <w:pPr>
        <w:adjustRightInd w:val="0"/>
        <w:snapToGrid w:val="0"/>
        <w:spacing w:line="360" w:lineRule="auto"/>
        <w:rPr>
          <w:rFonts w:ascii="黑体" w:hAnsi="黑体" w:eastAsia="黑体"/>
          <w:sz w:val="32"/>
          <w:szCs w:val="32"/>
        </w:rPr>
      </w:pPr>
      <w:r>
        <w:rPr>
          <w:rFonts w:hint="eastAsia" w:ascii="黑体" w:hAnsi="黑体" w:eastAsia="黑体"/>
          <w:sz w:val="32"/>
          <w:szCs w:val="32"/>
        </w:rPr>
        <w:t>二、发展思路与目标</w:t>
      </w:r>
    </w:p>
    <w:p>
      <w:pPr>
        <w:pStyle w:val="27"/>
        <w:shd w:val="clear" w:color="auto" w:fill="FFFFFF"/>
        <w:autoSpaceDE w:val="0"/>
        <w:adjustRightInd w:val="0"/>
        <w:snapToGrid w:val="0"/>
        <w:spacing w:before="0" w:beforeAutospacing="0" w:after="0" w:afterAutospacing="0" w:line="360" w:lineRule="auto"/>
        <w:ind w:firstLine="600" w:firstLineChars="200"/>
        <w:rPr>
          <w:rFonts w:ascii="仿宋" w:hAnsi="仿宋" w:eastAsia="仿宋"/>
          <w:sz w:val="30"/>
          <w:szCs w:val="30"/>
        </w:rPr>
      </w:pPr>
      <w:r>
        <w:rPr>
          <w:rFonts w:ascii="仿宋" w:hAnsi="仿宋" w:eastAsia="仿宋"/>
          <w:sz w:val="30"/>
          <w:szCs w:val="30"/>
        </w:rPr>
        <w:t>主动承接沿海地区高端产业溢出式转移，狠抓电子信息产业龙头项目引进和关联配套企业入驻，谋划推进一批电子信息产业大项目、好项目</w:t>
      </w:r>
      <w:r>
        <w:rPr>
          <w:rFonts w:hint="eastAsia" w:ascii="仿宋" w:hAnsi="仿宋" w:eastAsia="仿宋"/>
          <w:sz w:val="30"/>
          <w:szCs w:val="30"/>
        </w:rPr>
        <w:t>，</w:t>
      </w:r>
      <w:r>
        <w:rPr>
          <w:rFonts w:ascii="仿宋" w:hAnsi="仿宋" w:eastAsia="仿宋"/>
          <w:sz w:val="30"/>
          <w:szCs w:val="30"/>
        </w:rPr>
        <w:t>着力打造电子信息产业</w:t>
      </w:r>
      <w:r>
        <w:rPr>
          <w:rFonts w:hint="eastAsia" w:ascii="仿宋" w:hAnsi="仿宋" w:eastAsia="仿宋"/>
          <w:sz w:val="30"/>
          <w:szCs w:val="30"/>
        </w:rPr>
        <w:t>集群</w:t>
      </w:r>
      <w:r>
        <w:rPr>
          <w:rFonts w:ascii="仿宋" w:hAnsi="仿宋" w:eastAsia="仿宋"/>
          <w:sz w:val="30"/>
          <w:szCs w:val="30"/>
        </w:rPr>
        <w:t>。</w:t>
      </w:r>
    </w:p>
    <w:p>
      <w:pPr>
        <w:pStyle w:val="27"/>
        <w:shd w:val="clear" w:color="auto" w:fill="FFFFFF"/>
        <w:autoSpaceDE w:val="0"/>
        <w:adjustRightInd w:val="0"/>
        <w:snapToGrid w:val="0"/>
        <w:spacing w:before="0" w:beforeAutospacing="0" w:after="0" w:afterAutospacing="0" w:line="360" w:lineRule="auto"/>
        <w:ind w:firstLine="600" w:firstLineChars="200"/>
        <w:rPr>
          <w:rFonts w:ascii="仿宋" w:hAnsi="仿宋" w:eastAsia="仿宋"/>
          <w:sz w:val="30"/>
          <w:szCs w:val="30"/>
        </w:rPr>
      </w:pPr>
      <w:r>
        <w:rPr>
          <w:rFonts w:ascii="仿宋" w:hAnsi="仿宋" w:eastAsia="仿宋"/>
          <w:sz w:val="30"/>
          <w:szCs w:val="30"/>
        </w:rPr>
        <w:t>到2025年，</w:t>
      </w:r>
      <w:r>
        <w:rPr>
          <w:rFonts w:hint="eastAsia" w:ascii="仿宋" w:hAnsi="仿宋" w:eastAsia="仿宋"/>
          <w:sz w:val="30"/>
          <w:szCs w:val="30"/>
        </w:rPr>
        <w:t>建成武珞电子信息产业园，</w:t>
      </w:r>
      <w:r>
        <w:rPr>
          <w:rFonts w:ascii="仿宋" w:hAnsi="仿宋" w:eastAsia="仿宋"/>
          <w:sz w:val="30"/>
          <w:szCs w:val="30"/>
        </w:rPr>
        <w:t>新引进企业10户以上，建成一定竞争力和规模的电子信息产业集群；力争电子信息产业产值突破</w:t>
      </w:r>
      <w:r>
        <w:rPr>
          <w:rFonts w:hint="eastAsia" w:ascii="仿宋" w:hAnsi="仿宋" w:eastAsia="仿宋"/>
          <w:sz w:val="30"/>
          <w:szCs w:val="30"/>
        </w:rPr>
        <w:t>20</w:t>
      </w:r>
      <w:r>
        <w:rPr>
          <w:rFonts w:ascii="仿宋" w:hAnsi="仿宋" w:eastAsia="仿宋"/>
          <w:sz w:val="30"/>
          <w:szCs w:val="30"/>
        </w:rPr>
        <w:t>亿元，培育和引进亿元级企业</w:t>
      </w:r>
      <w:r>
        <w:rPr>
          <w:rFonts w:hint="eastAsia" w:ascii="仿宋" w:hAnsi="仿宋" w:eastAsia="仿宋"/>
          <w:sz w:val="30"/>
          <w:szCs w:val="30"/>
        </w:rPr>
        <w:t>5</w:t>
      </w:r>
      <w:r>
        <w:rPr>
          <w:rFonts w:ascii="仿宋" w:hAnsi="仿宋" w:eastAsia="仿宋"/>
          <w:sz w:val="30"/>
          <w:szCs w:val="30"/>
        </w:rPr>
        <w:t>户以上，成为成渝地区双城经济圈电子信息产业发展的重要配套基地。</w:t>
      </w:r>
    </w:p>
    <w:p>
      <w:pPr>
        <w:adjustRightInd w:val="0"/>
        <w:snapToGrid w:val="0"/>
        <w:spacing w:line="360" w:lineRule="auto"/>
        <w:rPr>
          <w:rFonts w:ascii="黑体" w:hAnsi="黑体" w:eastAsia="黑体"/>
          <w:sz w:val="32"/>
          <w:szCs w:val="32"/>
        </w:rPr>
      </w:pPr>
      <w:r>
        <w:rPr>
          <w:rFonts w:hint="eastAsia" w:ascii="黑体" w:hAnsi="黑体" w:eastAsia="黑体"/>
          <w:sz w:val="32"/>
          <w:szCs w:val="32"/>
        </w:rPr>
        <w:t>三、发展重点</w:t>
      </w:r>
    </w:p>
    <w:p>
      <w:pPr>
        <w:adjustRightInd w:val="0"/>
        <w:snapToGrid w:val="0"/>
        <w:spacing w:line="360" w:lineRule="auto"/>
        <w:ind w:firstLine="600" w:firstLineChars="200"/>
        <w:rPr>
          <w:rFonts w:ascii="黑体" w:hAnsi="黑体" w:eastAsia="黑体"/>
          <w:sz w:val="30"/>
          <w:szCs w:val="30"/>
        </w:rPr>
      </w:pPr>
      <w:r>
        <w:rPr>
          <w:rFonts w:hint="eastAsia" w:ascii="黑体" w:hAnsi="黑体" w:eastAsia="黑体"/>
          <w:sz w:val="30"/>
          <w:szCs w:val="30"/>
        </w:rPr>
        <w:t>1、积极布局适合园区发展的智能终端产品</w:t>
      </w:r>
    </w:p>
    <w:p>
      <w:pPr>
        <w:pStyle w:val="27"/>
        <w:shd w:val="clear" w:color="auto" w:fill="FFFFFF"/>
        <w:autoSpaceDE w:val="0"/>
        <w:adjustRightInd w:val="0"/>
        <w:snapToGrid w:val="0"/>
        <w:spacing w:before="0" w:beforeAutospacing="0" w:after="0" w:afterAutospacing="0" w:line="360" w:lineRule="auto"/>
        <w:ind w:firstLine="600" w:firstLineChars="200"/>
        <w:rPr>
          <w:rFonts w:ascii="仿宋" w:hAnsi="仿宋" w:eastAsia="仿宋" w:cstheme="minorBidi"/>
          <w:bCs/>
          <w:sz w:val="30"/>
          <w:szCs w:val="30"/>
        </w:rPr>
      </w:pPr>
      <w:r>
        <w:rPr>
          <w:rFonts w:hint="eastAsia" w:ascii="仿宋" w:hAnsi="仿宋" w:eastAsia="仿宋" w:cstheme="minorBidi"/>
          <w:bCs/>
          <w:sz w:val="30"/>
          <w:szCs w:val="30"/>
        </w:rPr>
        <w:t>（1）移动智能终端配套</w:t>
      </w:r>
    </w:p>
    <w:p>
      <w:pPr>
        <w:pStyle w:val="27"/>
        <w:shd w:val="clear" w:color="auto" w:fill="FFFFFF"/>
        <w:autoSpaceDE w:val="0"/>
        <w:adjustRightInd w:val="0"/>
        <w:snapToGrid w:val="0"/>
        <w:spacing w:before="0" w:beforeAutospacing="0" w:after="0" w:afterAutospacing="0" w:line="360" w:lineRule="auto"/>
        <w:ind w:firstLine="600" w:firstLineChars="200"/>
        <w:rPr>
          <w:rFonts w:ascii="仿宋" w:hAnsi="仿宋" w:eastAsia="仿宋" w:cstheme="minorBidi"/>
          <w:sz w:val="30"/>
          <w:szCs w:val="30"/>
        </w:rPr>
      </w:pPr>
      <w:r>
        <w:rPr>
          <w:rFonts w:hint="eastAsia" w:ascii="仿宋" w:hAnsi="仿宋" w:eastAsia="仿宋" w:cstheme="minorBidi"/>
          <w:sz w:val="30"/>
          <w:szCs w:val="30"/>
        </w:rPr>
        <w:t>紧抓第五代移动通信技术（</w:t>
      </w:r>
      <w:r>
        <w:rPr>
          <w:rFonts w:eastAsia="仿宋"/>
          <w:sz w:val="30"/>
          <w:szCs w:val="30"/>
        </w:rPr>
        <w:t>5G）商用、人工智能等带来的机遇，着力以零件配套方面切入成渝地区双城经济圈电子信息产业集群。重点发展支持5G</w:t>
      </w:r>
      <w:r>
        <w:rPr>
          <w:rFonts w:hint="eastAsia" w:ascii="仿宋" w:hAnsi="仿宋" w:eastAsia="仿宋" w:cstheme="minorBidi"/>
          <w:sz w:val="30"/>
          <w:szCs w:val="30"/>
        </w:rPr>
        <w:t>高频应用的射频器件、电源管理芯片、多媒体应用芯片、连接芯片等配套元器件产品；发展</w:t>
      </w:r>
      <w:r>
        <w:rPr>
          <w:rFonts w:eastAsia="仿宋"/>
          <w:sz w:val="30"/>
          <w:szCs w:val="30"/>
        </w:rPr>
        <w:t>TFT-LCD全面屏、AMOLED</w:t>
      </w:r>
      <w:r>
        <w:rPr>
          <w:rFonts w:hint="eastAsia" w:ascii="仿宋" w:hAnsi="仿宋" w:eastAsia="仿宋" w:cstheme="minorBidi"/>
          <w:sz w:val="30"/>
          <w:szCs w:val="30"/>
        </w:rPr>
        <w:t>全面屏等触控一体化产品，逐步实现玻璃盖板、显示/触控芯片等零部件本地配套；发展指纹识别芯片、虹膜识别芯片等配套零部件；发展双摄像头系统、虹膜识别摄像头等产品，以及摄像头芯片、镜头、互补金属氧化物半导体（CMOS）传感器、马达、模组等配套零部件；发展玻璃后盖、陶瓷后盖等手机机身产品。</w:t>
      </w:r>
    </w:p>
    <w:p>
      <w:pPr>
        <w:pStyle w:val="27"/>
        <w:shd w:val="clear" w:color="auto" w:fill="FFFFFF"/>
        <w:autoSpaceDE w:val="0"/>
        <w:adjustRightInd w:val="0"/>
        <w:snapToGrid w:val="0"/>
        <w:spacing w:before="0" w:beforeAutospacing="0" w:after="0" w:afterAutospacing="0" w:line="360" w:lineRule="auto"/>
        <w:ind w:firstLine="600" w:firstLineChars="200"/>
        <w:rPr>
          <w:rFonts w:ascii="仿宋" w:hAnsi="仿宋" w:eastAsia="仿宋" w:cstheme="minorBidi"/>
          <w:bCs/>
          <w:sz w:val="30"/>
          <w:szCs w:val="30"/>
        </w:rPr>
      </w:pPr>
      <w:r>
        <w:rPr>
          <w:rFonts w:hint="eastAsia" w:ascii="仿宋" w:hAnsi="仿宋" w:eastAsia="仿宋" w:cstheme="minorBidi"/>
          <w:bCs/>
          <w:sz w:val="30"/>
          <w:szCs w:val="30"/>
        </w:rPr>
        <w:t>（2）汽车电子</w:t>
      </w:r>
    </w:p>
    <w:p>
      <w:pPr>
        <w:pStyle w:val="27"/>
        <w:shd w:val="clear" w:color="auto" w:fill="FFFFFF"/>
        <w:autoSpaceDE w:val="0"/>
        <w:adjustRightInd w:val="0"/>
        <w:snapToGrid w:val="0"/>
        <w:spacing w:before="0" w:beforeAutospacing="0" w:after="0" w:afterAutospacing="0" w:line="360" w:lineRule="auto"/>
        <w:ind w:firstLine="600" w:firstLineChars="200"/>
        <w:rPr>
          <w:rFonts w:ascii="仿宋" w:hAnsi="仿宋" w:eastAsia="仿宋" w:cstheme="minorBidi"/>
          <w:sz w:val="30"/>
          <w:szCs w:val="30"/>
        </w:rPr>
      </w:pPr>
      <w:r>
        <w:rPr>
          <w:rFonts w:hint="eastAsia" w:ascii="仿宋" w:hAnsi="仿宋" w:eastAsia="仿宋" w:cstheme="minorBidi"/>
          <w:sz w:val="30"/>
          <w:szCs w:val="30"/>
        </w:rPr>
        <w:t>紧跟汽车电动化、智能化、网联化发展趋势，重点发展电动门窗、电动后视镜、电动座椅、自动空调以及电子防盗、中控锁等车身电子产品，车载导航终端、车载多媒体终端、倒车可视系统、行车激光雷达和摄像头等车载电子产品。</w:t>
      </w:r>
    </w:p>
    <w:p>
      <w:pPr>
        <w:pStyle w:val="27"/>
        <w:shd w:val="clear" w:color="auto" w:fill="FFFFFF"/>
        <w:autoSpaceDE w:val="0"/>
        <w:adjustRightInd w:val="0"/>
        <w:snapToGrid w:val="0"/>
        <w:spacing w:before="0" w:beforeAutospacing="0" w:after="0" w:afterAutospacing="0" w:line="360" w:lineRule="auto"/>
        <w:ind w:firstLine="600" w:firstLineChars="200"/>
        <w:rPr>
          <w:rFonts w:ascii="仿宋" w:hAnsi="仿宋" w:eastAsia="仿宋" w:cstheme="minorBidi"/>
          <w:sz w:val="30"/>
          <w:szCs w:val="30"/>
        </w:rPr>
      </w:pPr>
    </w:p>
    <w:p>
      <w:pPr>
        <w:pStyle w:val="27"/>
        <w:shd w:val="clear" w:color="auto" w:fill="FFFFFF"/>
        <w:autoSpaceDE w:val="0"/>
        <w:adjustRightInd w:val="0"/>
        <w:snapToGrid w:val="0"/>
        <w:spacing w:before="0" w:beforeAutospacing="0" w:after="0" w:afterAutospacing="0" w:line="360" w:lineRule="auto"/>
        <w:ind w:firstLine="600" w:firstLineChars="200"/>
        <w:rPr>
          <w:rFonts w:ascii="仿宋" w:hAnsi="仿宋" w:eastAsia="仿宋" w:cstheme="minorBidi"/>
          <w:sz w:val="30"/>
          <w:szCs w:val="30"/>
        </w:rPr>
      </w:pPr>
    </w:p>
    <w:p>
      <w:pPr>
        <w:adjustRightInd w:val="0"/>
        <w:snapToGrid w:val="0"/>
        <w:spacing w:line="360" w:lineRule="auto"/>
        <w:ind w:firstLine="600" w:firstLineChars="200"/>
        <w:rPr>
          <w:rFonts w:ascii="黑体" w:hAnsi="黑体" w:eastAsia="黑体"/>
          <w:sz w:val="30"/>
          <w:szCs w:val="30"/>
        </w:rPr>
      </w:pPr>
      <w:r>
        <w:rPr>
          <w:rFonts w:hint="eastAsia" w:ascii="黑体" w:hAnsi="黑体" w:eastAsia="黑体"/>
          <w:sz w:val="30"/>
          <w:szCs w:val="30"/>
        </w:rPr>
        <w:t>2、加强区域合作</w:t>
      </w:r>
    </w:p>
    <w:p>
      <w:pPr>
        <w:shd w:val="clear" w:color="auto" w:fill="FFFFFF"/>
        <w:adjustRightInd w:val="0"/>
        <w:snapToGrid w:val="0"/>
        <w:spacing w:line="360" w:lineRule="auto"/>
        <w:ind w:firstLine="600" w:firstLineChars="200"/>
        <w:rPr>
          <w:rFonts w:ascii="仿宋" w:hAnsi="仿宋" w:eastAsia="仿宋"/>
          <w:sz w:val="30"/>
          <w:szCs w:val="30"/>
        </w:rPr>
      </w:pPr>
      <w:r>
        <w:rPr>
          <w:rFonts w:hint="eastAsia" w:ascii="仿宋" w:hAnsi="仿宋" w:eastAsia="仿宋"/>
          <w:sz w:val="30"/>
          <w:szCs w:val="30"/>
        </w:rPr>
        <w:t>当前，电子信息产业正面临结构性调整和区域布局调整；一方面园区应积极承接东部沿海智能终端等电子信息产业转移，另外一方面园区应加强与成渝地区的区域合作，着力通过创新区域合作方式，如建设成渝电子信息产业飞地等多种模式，力争融入成渝地区双城经济圈电子信息产业发展。</w:t>
      </w:r>
    </w:p>
    <w:p>
      <w:pPr>
        <w:adjustRightInd w:val="0"/>
        <w:snapToGrid w:val="0"/>
        <w:spacing w:line="360" w:lineRule="auto"/>
        <w:ind w:firstLine="600" w:firstLineChars="200"/>
        <w:rPr>
          <w:rFonts w:ascii="黑体" w:hAnsi="黑体" w:eastAsia="黑体"/>
          <w:sz w:val="30"/>
          <w:szCs w:val="30"/>
        </w:rPr>
      </w:pPr>
      <w:r>
        <w:rPr>
          <w:rFonts w:hint="eastAsia" w:ascii="黑体" w:hAnsi="黑体" w:eastAsia="黑体"/>
          <w:sz w:val="30"/>
          <w:szCs w:val="30"/>
        </w:rPr>
        <w:t>3、着力在部分领域形成应用示范</w:t>
      </w:r>
    </w:p>
    <w:p>
      <w:pPr>
        <w:shd w:val="clear" w:color="auto" w:fill="FFFFFF"/>
        <w:adjustRightInd w:val="0"/>
        <w:snapToGrid w:val="0"/>
        <w:spacing w:line="360" w:lineRule="auto"/>
        <w:ind w:firstLine="600" w:firstLineChars="200"/>
        <w:rPr>
          <w:rFonts w:ascii="仿宋" w:hAnsi="仿宋" w:eastAsia="仿宋"/>
          <w:sz w:val="30"/>
          <w:szCs w:val="30"/>
        </w:rPr>
      </w:pPr>
      <w:r>
        <w:rPr>
          <w:rFonts w:hint="eastAsia" w:ascii="仿宋" w:hAnsi="仿宋" w:eastAsia="仿宋"/>
          <w:sz w:val="30"/>
          <w:szCs w:val="30"/>
        </w:rPr>
        <w:t>力争在工业研发设计、半导体封装、装备制造和智能家居、智能交通、生态环保等领域形成产品开发和应用示范，力争形成以应用示范吸引企业入驻。</w:t>
      </w:r>
    </w:p>
    <w:bookmarkEnd w:id="10"/>
    <w:p>
      <w:pPr>
        <w:rPr>
          <w:rFonts w:ascii="仿宋" w:hAnsi="仿宋" w:eastAsia="仿宋"/>
          <w:b/>
          <w:sz w:val="30"/>
          <w:szCs w:val="30"/>
        </w:rPr>
      </w:pPr>
      <w:r>
        <w:rPr>
          <w:rFonts w:ascii="仿宋" w:hAnsi="仿宋" w:eastAsia="仿宋"/>
          <w:b/>
          <w:sz w:val="30"/>
          <w:szCs w:val="30"/>
        </w:rPr>
        <w:br w:type="page"/>
      </w:r>
    </w:p>
    <w:p>
      <w:pPr>
        <w:pStyle w:val="2"/>
        <w:adjustRightInd w:val="0"/>
        <w:snapToGrid w:val="0"/>
        <w:spacing w:beforeLines="50" w:afterLines="50" w:line="360" w:lineRule="auto"/>
        <w:jc w:val="center"/>
        <w:rPr>
          <w:rFonts w:ascii="黑体" w:hAnsi="黑体" w:eastAsia="黑体"/>
          <w:bCs w:val="0"/>
          <w:kern w:val="2"/>
        </w:rPr>
      </w:pPr>
      <w:bookmarkStart w:id="41" w:name="_Toc66118518"/>
      <w:bookmarkStart w:id="42" w:name="_Toc91676441"/>
      <w:r>
        <w:rPr>
          <w:rFonts w:hint="eastAsia" w:ascii="黑体" w:hAnsi="黑体" w:eastAsia="黑体"/>
          <w:bCs w:val="0"/>
          <w:kern w:val="2"/>
        </w:rPr>
        <w:t>第五章  主要任务</w:t>
      </w:r>
      <w:bookmarkEnd w:id="41"/>
      <w:bookmarkEnd w:id="42"/>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43" w:name="_Toc66118519"/>
      <w:bookmarkStart w:id="44" w:name="_Toc91676442"/>
      <w:r>
        <w:rPr>
          <w:rFonts w:hint="eastAsia" w:ascii="黑体" w:hAnsi="黑体" w:eastAsia="黑体" w:cs="Times New Roman"/>
          <w:bCs w:val="0"/>
          <w:color w:val="000000"/>
        </w:rPr>
        <w:t>第一节  完善基础设施体系</w:t>
      </w:r>
      <w:bookmarkEnd w:id="43"/>
      <w:bookmarkEnd w:id="44"/>
    </w:p>
    <w:p>
      <w:pPr>
        <w:adjustRightInd w:val="0"/>
        <w:snapToGrid w:val="0"/>
        <w:spacing w:line="360" w:lineRule="auto"/>
        <w:ind w:firstLine="600" w:firstLineChars="200"/>
        <w:rPr>
          <w:rFonts w:ascii="仿宋" w:hAnsi="仿宋" w:eastAsia="仿宋"/>
          <w:bCs/>
          <w:sz w:val="30"/>
          <w:szCs w:val="30"/>
        </w:rPr>
      </w:pPr>
      <w:r>
        <w:rPr>
          <w:rFonts w:hint="eastAsia" w:ascii="仿宋" w:hAnsi="仿宋" w:eastAsia="仿宋"/>
          <w:bCs/>
          <w:sz w:val="30"/>
          <w:szCs w:val="30"/>
        </w:rPr>
        <w:t>通过政府性投资、社会资本投资和业主投资，完成园区“九通一平”基础设施建设，完善园区内部生活服务配套设施，提升园区防灾减灾能力和综合承载能力，转型升级城西产业园，配套完善神仙桥产业园，推动生产生活生态空间和功能协调发展。</w:t>
      </w:r>
    </w:p>
    <w:p>
      <w:pPr>
        <w:adjustRightInd w:val="0"/>
        <w:snapToGrid w:val="0"/>
        <w:spacing w:line="360" w:lineRule="auto"/>
        <w:ind w:firstLine="602" w:firstLineChars="200"/>
        <w:rPr>
          <w:rFonts w:ascii="仿宋" w:hAnsi="仿宋" w:eastAsia="仿宋"/>
          <w:bCs/>
          <w:sz w:val="30"/>
          <w:szCs w:val="30"/>
        </w:rPr>
      </w:pPr>
      <w:r>
        <w:rPr>
          <w:rFonts w:hint="eastAsia" w:ascii="仿宋" w:hAnsi="仿宋" w:eastAsia="仿宋"/>
          <w:b/>
          <w:bCs/>
          <w:sz w:val="30"/>
          <w:szCs w:val="30"/>
        </w:rPr>
        <w:t>加快推动“九通一平”基础设施建设。</w:t>
      </w:r>
      <w:r>
        <w:rPr>
          <w:rFonts w:hint="eastAsia" w:ascii="仿宋" w:hAnsi="仿宋" w:eastAsia="仿宋"/>
          <w:bCs/>
          <w:sz w:val="30"/>
          <w:szCs w:val="30"/>
        </w:rPr>
        <w:t>根据当前实际需求和未来发展需要，</w:t>
      </w:r>
      <w:r>
        <w:rPr>
          <w:rFonts w:ascii="仿宋" w:hAnsi="仿宋" w:eastAsia="仿宋"/>
          <w:bCs/>
          <w:sz w:val="30"/>
          <w:szCs w:val="30"/>
        </w:rPr>
        <w:t>着力加快</w:t>
      </w:r>
      <w:r>
        <w:rPr>
          <w:rFonts w:hint="eastAsia" w:ascii="仿宋" w:hAnsi="仿宋" w:eastAsia="仿宋"/>
          <w:bCs/>
          <w:sz w:val="30"/>
          <w:szCs w:val="30"/>
        </w:rPr>
        <w:t>园区</w:t>
      </w:r>
      <w:r>
        <w:rPr>
          <w:rFonts w:ascii="仿宋" w:hAnsi="仿宋" w:eastAsia="仿宋"/>
          <w:bCs/>
          <w:sz w:val="30"/>
          <w:szCs w:val="30"/>
        </w:rPr>
        <w:t>基础设施建设，</w:t>
      </w:r>
      <w:r>
        <w:rPr>
          <w:rFonts w:hint="eastAsia" w:ascii="仿宋" w:hAnsi="仿宋" w:eastAsia="仿宋"/>
          <w:bCs/>
          <w:sz w:val="30"/>
          <w:szCs w:val="30"/>
        </w:rPr>
        <w:t>实行梯度高端配套，确保当前适用、未来管用。</w:t>
      </w:r>
      <w:r>
        <w:rPr>
          <w:rFonts w:ascii="仿宋" w:hAnsi="仿宋" w:eastAsia="仿宋"/>
          <w:bCs/>
          <w:sz w:val="30"/>
          <w:szCs w:val="30"/>
        </w:rPr>
        <w:t>加快</w:t>
      </w:r>
      <w:r>
        <w:rPr>
          <w:rFonts w:hint="eastAsia" w:ascii="仿宋" w:hAnsi="仿宋" w:eastAsia="仿宋"/>
          <w:bCs/>
          <w:sz w:val="30"/>
          <w:szCs w:val="30"/>
        </w:rPr>
        <w:t>完成城西工业园的道路7号线、道路12号线的建设，加大经济发展服务中心、天然气分布式能源、20万平方米标准化厂房等项目建设力度，完成10号线—18号线间“九通一平”等基础配套建设，拓展园区发展空间，稳步实施企业“退城入园”。在神仙桥产业园，</w:t>
      </w:r>
      <w:r>
        <w:rPr>
          <w:rFonts w:ascii="仿宋" w:hAnsi="仿宋" w:eastAsia="仿宋"/>
          <w:bCs/>
          <w:sz w:val="30"/>
          <w:szCs w:val="30"/>
        </w:rPr>
        <w:t>实现</w:t>
      </w:r>
      <w:r>
        <w:rPr>
          <w:rFonts w:hint="eastAsia" w:ascii="仿宋" w:hAnsi="仿宋" w:eastAsia="仿宋"/>
          <w:bCs/>
          <w:sz w:val="30"/>
          <w:szCs w:val="30"/>
        </w:rPr>
        <w:t>扩区范围内</w:t>
      </w:r>
      <w:r>
        <w:rPr>
          <w:rFonts w:ascii="仿宋" w:hAnsi="仿宋" w:eastAsia="仿宋"/>
          <w:bCs/>
          <w:sz w:val="30"/>
          <w:szCs w:val="30"/>
        </w:rPr>
        <w:t>道路、雨水、污水、自来水、天然气、电力、电信</w:t>
      </w:r>
      <w:r>
        <w:rPr>
          <w:rFonts w:hint="eastAsia" w:ascii="仿宋" w:hAnsi="仿宋" w:eastAsia="仿宋"/>
          <w:bCs/>
          <w:sz w:val="30"/>
          <w:szCs w:val="30"/>
        </w:rPr>
        <w:t>、热力</w:t>
      </w:r>
      <w:r>
        <w:rPr>
          <w:rFonts w:ascii="仿宋" w:hAnsi="仿宋" w:eastAsia="仿宋"/>
          <w:bCs/>
          <w:sz w:val="30"/>
          <w:szCs w:val="30"/>
        </w:rPr>
        <w:t>及有线电视管线通和土地平整“</w:t>
      </w:r>
      <w:r>
        <w:rPr>
          <w:rFonts w:hint="eastAsia" w:ascii="仿宋" w:hAnsi="仿宋" w:eastAsia="仿宋"/>
          <w:bCs/>
          <w:sz w:val="30"/>
          <w:szCs w:val="30"/>
        </w:rPr>
        <w:t>九</w:t>
      </w:r>
      <w:r>
        <w:rPr>
          <w:rFonts w:ascii="仿宋" w:hAnsi="仿宋" w:eastAsia="仿宋"/>
          <w:bCs/>
          <w:sz w:val="30"/>
          <w:szCs w:val="30"/>
        </w:rPr>
        <w:t>通一平”</w:t>
      </w:r>
      <w:r>
        <w:rPr>
          <w:rFonts w:hint="eastAsia" w:ascii="仿宋" w:hAnsi="仿宋" w:eastAsia="仿宋"/>
          <w:bCs/>
          <w:sz w:val="30"/>
          <w:szCs w:val="30"/>
        </w:rPr>
        <w:t>，建成投用产业园进港路、4号线雨污管网、配气站、标准化厂房等项目，完成分布式能源、配套服务中心、特勤消防站建设，规范化工专业园区配套设施建设，启动神仙桥码头出港功能升级。支持行业协会和龙头企业等各类投资开发主体以公有民办、民办公助、股份制、独资经营等多形式，参与或主导产业园平台、标准厂房的开发建设和运营管理。</w:t>
      </w:r>
    </w:p>
    <w:p>
      <w:pPr>
        <w:adjustRightInd w:val="0"/>
        <w:snapToGrid w:val="0"/>
        <w:spacing w:line="360" w:lineRule="auto"/>
        <w:ind w:firstLine="602" w:firstLineChars="200"/>
        <w:rPr>
          <w:rFonts w:ascii="仿宋" w:hAnsi="仿宋" w:eastAsia="仿宋"/>
          <w:bCs/>
          <w:sz w:val="30"/>
          <w:szCs w:val="30"/>
        </w:rPr>
      </w:pPr>
      <w:r>
        <w:rPr>
          <w:rFonts w:hint="eastAsia" w:ascii="仿宋" w:hAnsi="仿宋" w:eastAsia="仿宋"/>
          <w:b/>
          <w:bCs/>
          <w:sz w:val="30"/>
          <w:szCs w:val="30"/>
        </w:rPr>
        <w:t>规划建设防灾减灾配套设施。</w:t>
      </w:r>
      <w:r>
        <w:rPr>
          <w:rFonts w:hint="eastAsia" w:ascii="仿宋" w:hAnsi="仿宋" w:eastAsia="仿宋"/>
          <w:bCs/>
          <w:sz w:val="30"/>
          <w:szCs w:val="30"/>
        </w:rPr>
        <w:t>加大环保设施的投入力度，充分考虑开发区在发展过程中的废弃物量，科学计算废弃物转运量，合理确定废弃物处理场规模和垃圾中转站数量。通过环卫设施建设和废弃物分类规范处置，工业固体废弃物利用率达到</w:t>
      </w:r>
      <w:r>
        <w:rPr>
          <w:rFonts w:ascii="仿宋" w:hAnsi="仿宋" w:eastAsia="仿宋"/>
          <w:bCs/>
          <w:sz w:val="30"/>
          <w:szCs w:val="30"/>
        </w:rPr>
        <w:t>80%以上，生活垃圾清运率达到100%。</w:t>
      </w:r>
      <w:r>
        <w:rPr>
          <w:rFonts w:hint="eastAsia" w:ascii="仿宋" w:hAnsi="仿宋" w:eastAsia="仿宋"/>
          <w:bCs/>
          <w:sz w:val="30"/>
          <w:szCs w:val="30"/>
        </w:rPr>
        <w:t>将园区建设纳入区域消防规划，合理布设园区生产、储存易燃易爆危险品的单位和场所，确保园区布局符合消防安全要求。大力推进园区</w:t>
      </w:r>
      <w:r>
        <w:rPr>
          <w:rFonts w:ascii="仿宋" w:hAnsi="仿宋" w:eastAsia="仿宋"/>
          <w:bCs/>
          <w:sz w:val="30"/>
          <w:szCs w:val="30"/>
        </w:rPr>
        <w:t>智慧消防物联网系统建设</w:t>
      </w:r>
      <w:r>
        <w:rPr>
          <w:rFonts w:hint="eastAsia" w:ascii="仿宋" w:hAnsi="仿宋" w:eastAsia="仿宋"/>
          <w:bCs/>
          <w:sz w:val="30"/>
          <w:szCs w:val="30"/>
        </w:rPr>
        <w:t>，通过消防物联网传感终端获取的海量大数据，实现消防设备设施的智能化巡检和消防远程监测、预警与管理。鼓励小型厂房、员工宿舍等未安装自动消防系统的场所安装简易喷淋和独立式感烟火灾探测报警器等实用设施。针对神仙桥产业园化工“园中园”易燃易爆、有毒有害化学品运输，编制园区的化工物流运输规划，实行专用道路、专用车道、限时限速行驶，积极推动</w:t>
      </w:r>
      <w:r>
        <w:rPr>
          <w:rFonts w:ascii="仿宋" w:hAnsi="仿宋" w:eastAsia="仿宋"/>
          <w:bCs/>
          <w:sz w:val="30"/>
          <w:szCs w:val="30"/>
        </w:rPr>
        <w:t>危化品运输车辆专用停车场的建设</w:t>
      </w:r>
      <w:r>
        <w:rPr>
          <w:rFonts w:hint="eastAsia" w:ascii="仿宋" w:hAnsi="仿宋" w:eastAsia="仿宋"/>
          <w:bCs/>
          <w:sz w:val="30"/>
          <w:szCs w:val="30"/>
        </w:rPr>
        <w:t>；涉及有毒有害物质的重点场所或者重点设施设备（特别是地下储罐、管网等），应进行防渗漏设计和建设，消除土壤和地下水污染隐患。</w:t>
      </w:r>
    </w:p>
    <w:p>
      <w:pPr>
        <w:adjustRightInd w:val="0"/>
        <w:snapToGrid w:val="0"/>
        <w:spacing w:line="360" w:lineRule="auto"/>
        <w:ind w:firstLine="602" w:firstLineChars="200"/>
        <w:rPr>
          <w:rFonts w:ascii="仿宋" w:hAnsi="仿宋" w:eastAsia="仿宋"/>
          <w:bCs/>
          <w:sz w:val="30"/>
          <w:szCs w:val="30"/>
        </w:rPr>
      </w:pPr>
      <w:r>
        <w:rPr>
          <w:rFonts w:hint="eastAsia" w:ascii="仿宋" w:hAnsi="仿宋" w:eastAsia="仿宋"/>
          <w:b/>
          <w:bCs/>
          <w:sz w:val="30"/>
          <w:szCs w:val="30"/>
        </w:rPr>
        <w:t>有序推进生活性配套服务设施建设。</w:t>
      </w:r>
      <w:r>
        <w:rPr>
          <w:rFonts w:hint="eastAsia" w:ascii="仿宋" w:hAnsi="仿宋" w:eastAsia="仿宋"/>
          <w:bCs/>
          <w:sz w:val="30"/>
          <w:szCs w:val="30"/>
        </w:rPr>
        <w:t>从公众参与、以人为本、社会公平的角度出发，结合开发区产业特征、职工年龄阶段、业态、时态、空间、时序等因素，考虑园区未来的劳动力变化和优先应对大项目落地带来的突增需求，对生活性配套服务设施建设进行弹性考虑、提前预留考虑和可转型性考虑，避免配套设施的闲置浪费、供需不匹配或供不应求。推广节地停车场模式，适当提高新建公共设施停车位的配建比例。规划建设开发区专家公寓和职工住宿集中区，引导建设商业综合体、大中型超市、商务酒店、特色餐饮等生活配套服务区，打造滨江桂园林生态旅游区和其它文化体育设施，健全金融、商贸、通讯、邮政、交通、医疗等便民服务网点，为园区职工提供便利舒适的工作生活环境。积极采取政府购买服务、给予企业补贴等方式，吸引配套功能项目落户园区。</w:t>
      </w:r>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45" w:name="_Toc91676443"/>
      <w:bookmarkStart w:id="46" w:name="_Toc66118520"/>
      <w:r>
        <w:rPr>
          <w:rFonts w:hint="eastAsia" w:ascii="黑体" w:hAnsi="黑体" w:eastAsia="黑体" w:cs="Times New Roman"/>
          <w:bCs w:val="0"/>
          <w:color w:val="000000"/>
        </w:rPr>
        <w:t>第二节  提升园区创新能力</w:t>
      </w:r>
      <w:bookmarkEnd w:id="45"/>
      <w:bookmarkEnd w:id="46"/>
    </w:p>
    <w:p>
      <w:pPr>
        <w:adjustRightInd w:val="0"/>
        <w:snapToGrid w:val="0"/>
        <w:spacing w:line="360" w:lineRule="auto"/>
        <w:ind w:firstLine="600" w:firstLineChars="200"/>
        <w:rPr>
          <w:rFonts w:ascii="仿宋" w:hAnsi="仿宋" w:eastAsia="仿宋"/>
          <w:bCs/>
          <w:sz w:val="30"/>
          <w:szCs w:val="30"/>
        </w:rPr>
      </w:pPr>
      <w:r>
        <w:rPr>
          <w:rFonts w:hint="eastAsia" w:ascii="仿宋" w:hAnsi="仿宋" w:eastAsia="仿宋"/>
          <w:bCs/>
          <w:sz w:val="30"/>
          <w:szCs w:val="30"/>
        </w:rPr>
        <w:t>加大改革创新力度，实施创新驱动战略，通过加强企业技术革新、建设创新平台、促进创新创业，提升园区创新能力，促进园区转型升级，实现园区科学发展、高质量发展、可持续发展。</w:t>
      </w:r>
    </w:p>
    <w:p>
      <w:pPr>
        <w:adjustRightInd w:val="0"/>
        <w:snapToGrid w:val="0"/>
        <w:spacing w:line="360" w:lineRule="auto"/>
        <w:ind w:firstLine="602" w:firstLineChars="200"/>
        <w:rPr>
          <w:rFonts w:ascii="仿宋" w:hAnsi="仿宋" w:eastAsia="仿宋"/>
          <w:sz w:val="30"/>
          <w:szCs w:val="30"/>
        </w:rPr>
      </w:pPr>
      <w:r>
        <w:rPr>
          <w:rFonts w:hint="eastAsia" w:ascii="仿宋" w:hAnsi="仿宋" w:eastAsia="仿宋"/>
          <w:b/>
          <w:bCs/>
          <w:sz w:val="30"/>
          <w:szCs w:val="30"/>
        </w:rPr>
        <w:t>提升企业自主创新能力。</w:t>
      </w:r>
      <w:r>
        <w:rPr>
          <w:rFonts w:hint="eastAsia" w:ascii="仿宋" w:hAnsi="仿宋" w:eastAsia="仿宋"/>
          <w:bCs/>
          <w:sz w:val="30"/>
          <w:szCs w:val="30"/>
        </w:rPr>
        <w:t>积极构建以企业为主体、市场为导向、产学研相结合的技术创新机制。引导企业加大技术创新投入，支持企业自主研发关键、核心零部件，提升制造业智能化、数字化和信息化水平。把技术创新能力作为产业项目引进评估的重要指标，把技术要素参与分配作为高新技术企业产权制度改革的重要内容，增强企业技术创新的内在动力。支持以企业为主导建立产业技术创新战略联盟，鼓励企业加快研发机构建设，</w:t>
      </w:r>
      <w:r>
        <w:rPr>
          <w:rFonts w:hint="eastAsia" w:ascii="仿宋" w:hAnsi="仿宋" w:eastAsia="仿宋"/>
          <w:sz w:val="30"/>
          <w:szCs w:val="30"/>
        </w:rPr>
        <w:t>着力攻克产业发展急需解决的共性技术，提升技术整合能力</w:t>
      </w:r>
      <w:r>
        <w:rPr>
          <w:rFonts w:hint="eastAsia" w:ascii="仿宋" w:hAnsi="仿宋" w:eastAsia="仿宋"/>
          <w:bCs/>
          <w:sz w:val="30"/>
          <w:szCs w:val="30"/>
        </w:rPr>
        <w:t>。重视和发挥民营科技企业特别是中小型科技企业在自主创新、发展高新技术产业</w:t>
      </w:r>
      <w:r>
        <w:rPr>
          <w:rFonts w:hint="eastAsia" w:ascii="仿宋" w:hAnsi="仿宋" w:eastAsia="仿宋"/>
          <w:sz w:val="30"/>
          <w:szCs w:val="30"/>
        </w:rPr>
        <w:t>中的生力军作用。鼓励化工企业突破一批关键技术、推动传统化工产业转型升级和绿色发展。大力支持新产业、新技术、新模式、新业态发展。</w:t>
      </w:r>
    </w:p>
    <w:p>
      <w:pPr>
        <w:shd w:val="clear" w:color="auto" w:fill="FFFFFF"/>
        <w:adjustRightInd w:val="0"/>
        <w:snapToGrid w:val="0"/>
        <w:spacing w:line="360" w:lineRule="auto"/>
        <w:ind w:firstLine="602" w:firstLineChars="200"/>
        <w:rPr>
          <w:rFonts w:ascii="仿宋" w:hAnsi="仿宋" w:eastAsia="仿宋"/>
          <w:bCs/>
          <w:sz w:val="30"/>
          <w:szCs w:val="30"/>
        </w:rPr>
      </w:pPr>
      <w:r>
        <w:rPr>
          <w:rFonts w:hint="eastAsia" w:ascii="仿宋" w:hAnsi="仿宋" w:eastAsia="仿宋"/>
          <w:b/>
          <w:sz w:val="30"/>
          <w:szCs w:val="30"/>
        </w:rPr>
        <w:t>有序推动创新服务平台建设。</w:t>
      </w:r>
      <w:r>
        <w:rPr>
          <w:rFonts w:ascii="仿宋" w:hAnsi="仿宋" w:eastAsia="仿宋"/>
          <w:bCs/>
          <w:sz w:val="30"/>
          <w:szCs w:val="30"/>
        </w:rPr>
        <w:t>加快技术创新平台建设，鼓励以企业为主体，联合</w:t>
      </w:r>
      <w:r>
        <w:rPr>
          <w:rFonts w:hint="eastAsia" w:ascii="仿宋" w:hAnsi="仿宋" w:eastAsia="仿宋"/>
          <w:bCs/>
          <w:sz w:val="30"/>
          <w:szCs w:val="30"/>
        </w:rPr>
        <w:t>成渝地区知名科研院所和西南医科大学、四川化工职业技术学院、泸州职业技术学院等本地</w:t>
      </w:r>
      <w:r>
        <w:rPr>
          <w:rFonts w:ascii="仿宋" w:hAnsi="仿宋" w:eastAsia="仿宋"/>
          <w:bCs/>
          <w:sz w:val="30"/>
          <w:szCs w:val="30"/>
        </w:rPr>
        <w:t>高校建立研究实验基地、工程（技术）研究中心、企业技术中心</w:t>
      </w:r>
      <w:r>
        <w:rPr>
          <w:rFonts w:hint="eastAsia" w:ascii="仿宋" w:hAnsi="仿宋" w:eastAsia="仿宋"/>
          <w:bCs/>
          <w:sz w:val="30"/>
          <w:szCs w:val="30"/>
        </w:rPr>
        <w:t>、</w:t>
      </w:r>
      <w:r>
        <w:rPr>
          <w:rFonts w:ascii="仿宋" w:hAnsi="仿宋" w:eastAsia="仿宋"/>
          <w:bCs/>
          <w:sz w:val="30"/>
          <w:szCs w:val="30"/>
        </w:rPr>
        <w:t>大型科学仪器</w:t>
      </w:r>
      <w:r>
        <w:rPr>
          <w:rFonts w:hint="eastAsia" w:ascii="仿宋" w:hAnsi="仿宋" w:eastAsia="仿宋"/>
          <w:bCs/>
          <w:sz w:val="30"/>
          <w:szCs w:val="30"/>
        </w:rPr>
        <w:t>和</w:t>
      </w:r>
      <w:r>
        <w:rPr>
          <w:rFonts w:ascii="仿宋" w:hAnsi="仿宋" w:eastAsia="仿宋"/>
          <w:bCs/>
          <w:sz w:val="30"/>
          <w:szCs w:val="30"/>
        </w:rPr>
        <w:t>设备共享平台，营造为企业提供智力资源、科技资料、设备设施与科学数据等共享的氛围，实现项目、资金、人才、技术、市场、商业等资源的有效对接。</w:t>
      </w:r>
      <w:r>
        <w:rPr>
          <w:rFonts w:hint="eastAsia" w:ascii="仿宋" w:hAnsi="仿宋" w:eastAsia="仿宋"/>
          <w:bCs/>
          <w:sz w:val="30"/>
          <w:szCs w:val="30"/>
        </w:rPr>
        <w:t>依托成渝地区</w:t>
      </w:r>
      <w:r>
        <w:rPr>
          <w:rFonts w:hint="eastAsia" w:ascii="仿宋" w:hAnsi="仿宋" w:eastAsia="仿宋"/>
          <w:sz w:val="30"/>
          <w:szCs w:val="30"/>
        </w:rPr>
        <w:t>电子科技大学、四川大学、重庆大学、西南大学等科技成果较为丰富的院校，推动科技成果孵化与转移转化基地建设，搭建产学政研用合作平台。</w:t>
      </w:r>
      <w:r>
        <w:rPr>
          <w:rFonts w:hint="eastAsia" w:ascii="仿宋" w:hAnsi="仿宋" w:eastAsia="仿宋"/>
          <w:bCs/>
          <w:sz w:val="30"/>
          <w:szCs w:val="30"/>
        </w:rPr>
        <w:t>引进优质互联网平台企业，加快建设“泸县制造公共云平台”，与省市“工业云平台”对接，推进信息技术在研发设计、工艺流程、生产装备、过程控制、产品营销等环节深化应用，促进化工、白酒生产、食品加工、装备制造、电子信息等产业改造提升，实现产业上下游多用户、多任务并行协同工作，推动现代产业集群发展，降低企业的运营成本，提高生产效率。发展面向中小企业的研发设计平台和各类综合性信息化服务平台，促进信息技术在生产性服务业中的应用与融合创新。</w:t>
      </w:r>
    </w:p>
    <w:p>
      <w:pPr>
        <w:adjustRightInd w:val="0"/>
        <w:snapToGrid w:val="0"/>
        <w:spacing w:line="360" w:lineRule="auto"/>
        <w:ind w:firstLine="602" w:firstLineChars="200"/>
        <w:rPr>
          <w:rFonts w:ascii="仿宋" w:hAnsi="仿宋" w:eastAsia="仿宋"/>
          <w:bCs/>
          <w:sz w:val="30"/>
          <w:szCs w:val="30"/>
        </w:rPr>
      </w:pPr>
      <w:r>
        <w:rPr>
          <w:rFonts w:hint="eastAsia" w:ascii="仿宋" w:hAnsi="仿宋" w:eastAsia="仿宋"/>
          <w:b/>
          <w:bCs/>
          <w:sz w:val="30"/>
          <w:szCs w:val="30"/>
        </w:rPr>
        <w:t>推进大众创业万众创新。</w:t>
      </w:r>
      <w:r>
        <w:rPr>
          <w:rFonts w:hint="eastAsia" w:ascii="仿宋" w:hAnsi="仿宋" w:eastAsia="仿宋"/>
          <w:bCs/>
          <w:sz w:val="30"/>
          <w:szCs w:val="30"/>
        </w:rPr>
        <w:t>鼓励社会力量投资建设或运营创客空间、创业咖啡、创新工场等新型众创空间。优化创业培育服务，打造一批低成本、便利化、全要素、开放式的高水平众创空间。鼓励本土企业投资内部员工创新创业。鼓励大中型企业通过生产协作、开放平台、共享资源、开放标准等方式，带动上下游小微企业和创业者发展。鼓励行业协会、产业联盟等行业组织对中小微企业和创业者的支持。鼓励成功企业家以天使投资、指导帮扶等方式支持创业者创业。继续办好一批有影响力的创客活动，打造敢于创新、乐于创业的创客文化。构建普惠性创新创业支持政策体系，</w:t>
      </w:r>
      <w:r>
        <w:rPr>
          <w:rFonts w:ascii="仿宋" w:hAnsi="仿宋" w:eastAsia="仿宋"/>
          <w:bCs/>
          <w:sz w:val="30"/>
          <w:szCs w:val="30"/>
        </w:rPr>
        <w:t>强化对创新创业孵化园的服务协调工作，</w:t>
      </w:r>
      <w:r>
        <w:rPr>
          <w:rFonts w:hint="eastAsia" w:ascii="仿宋" w:hAnsi="仿宋" w:eastAsia="仿宋"/>
          <w:bCs/>
          <w:sz w:val="30"/>
          <w:szCs w:val="30"/>
        </w:rPr>
        <w:t>鼓励科研人员、大学生和境外人才创新创业。</w:t>
      </w:r>
    </w:p>
    <w:p>
      <w:pPr>
        <w:adjustRightInd w:val="0"/>
        <w:snapToGrid w:val="0"/>
        <w:spacing w:line="360" w:lineRule="auto"/>
        <w:ind w:firstLine="600" w:firstLineChars="200"/>
        <w:rPr>
          <w:rFonts w:ascii="仿宋" w:hAnsi="仿宋" w:eastAsia="仿宋"/>
          <w:bCs/>
          <w:sz w:val="30"/>
          <w:szCs w:val="30"/>
        </w:rPr>
      </w:pPr>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47" w:name="_Toc66118521"/>
      <w:bookmarkStart w:id="48" w:name="_Toc91676444"/>
      <w:r>
        <w:rPr>
          <w:rFonts w:hint="eastAsia" w:ascii="黑体" w:hAnsi="黑体" w:eastAsia="黑体" w:cs="Times New Roman"/>
          <w:bCs w:val="0"/>
          <w:color w:val="000000"/>
        </w:rPr>
        <w:t>第三节  提升招商引资质效</w:t>
      </w:r>
      <w:bookmarkEnd w:id="47"/>
      <w:bookmarkEnd w:id="48"/>
    </w:p>
    <w:p>
      <w:pPr>
        <w:adjustRightInd w:val="0"/>
        <w:snapToGrid w:val="0"/>
        <w:spacing w:line="360" w:lineRule="auto"/>
        <w:ind w:firstLine="600" w:firstLineChars="200"/>
        <w:rPr>
          <w:rFonts w:ascii="仿宋" w:hAnsi="仿宋" w:eastAsia="仿宋"/>
          <w:bCs/>
          <w:sz w:val="30"/>
          <w:szCs w:val="30"/>
        </w:rPr>
      </w:pPr>
      <w:r>
        <w:rPr>
          <w:rFonts w:hint="eastAsia" w:ascii="仿宋" w:hAnsi="仿宋" w:eastAsia="仿宋"/>
          <w:bCs/>
          <w:sz w:val="30"/>
          <w:szCs w:val="30"/>
        </w:rPr>
        <w:t>创新招商理念，坚持高位推动，实施精准招商，完善招商引资政策体系和服务体系，出台奖励政策激励全员招商，提升园区招商引资质效。</w:t>
      </w:r>
    </w:p>
    <w:p>
      <w:pPr>
        <w:adjustRightInd w:val="0"/>
        <w:snapToGrid w:val="0"/>
        <w:spacing w:line="360" w:lineRule="auto"/>
        <w:ind w:firstLine="602" w:firstLineChars="200"/>
        <w:rPr>
          <w:rFonts w:ascii="仿宋" w:hAnsi="仿宋" w:eastAsia="仿宋"/>
          <w:bCs/>
          <w:sz w:val="30"/>
          <w:szCs w:val="30"/>
        </w:rPr>
      </w:pPr>
      <w:r>
        <w:rPr>
          <w:rFonts w:hint="eastAsia" w:ascii="仿宋" w:hAnsi="仿宋" w:eastAsia="仿宋"/>
          <w:b/>
          <w:bCs/>
          <w:sz w:val="30"/>
          <w:szCs w:val="30"/>
        </w:rPr>
        <w:t>做好招商引资服务。</w:t>
      </w:r>
      <w:r>
        <w:rPr>
          <w:rFonts w:hint="eastAsia" w:ascii="仿宋" w:hAnsi="仿宋" w:eastAsia="仿宋"/>
          <w:bCs/>
          <w:sz w:val="30"/>
          <w:szCs w:val="30"/>
        </w:rPr>
        <w:t>加强组织领导，成立以县主要领导为组长，分管领导任副组长，相关部门负责人为成员的招商引资工作领导小组，围绕招商引资工作进展情况，定期进行重点项目拉练，看成效、找差距、补短板；完善招商引资机制，包括“专业、专职、专注”队伍、定期调度督办、“马上办、网上办、一次办”、“绩效考评”等等机制，筛选优秀年轻干部，充实招商引资一线队伍；强化业务培训，编制《泸县经济开发区招商引资指导手册》，强化项目准入论证研判，适时举办招商引资工作培训会，提高招商引资业务水平；</w:t>
      </w:r>
      <w:r>
        <w:rPr>
          <w:rFonts w:ascii="仿宋" w:hAnsi="仿宋" w:eastAsia="仿宋"/>
          <w:bCs/>
          <w:sz w:val="30"/>
          <w:szCs w:val="30"/>
        </w:rPr>
        <w:t>启动</w:t>
      </w:r>
      <w:r>
        <w:rPr>
          <w:rFonts w:hint="eastAsia" w:ascii="仿宋" w:hAnsi="仿宋" w:eastAsia="仿宋"/>
          <w:bCs/>
          <w:sz w:val="30"/>
          <w:szCs w:val="30"/>
        </w:rPr>
        <w:t>“</w:t>
      </w:r>
      <w:r>
        <w:rPr>
          <w:rFonts w:ascii="仿宋" w:hAnsi="仿宋" w:eastAsia="仿宋"/>
          <w:bCs/>
          <w:sz w:val="30"/>
          <w:szCs w:val="30"/>
        </w:rPr>
        <w:t>智慧招商管理平台</w:t>
      </w:r>
      <w:r>
        <w:rPr>
          <w:rFonts w:hint="eastAsia" w:ascii="仿宋" w:hAnsi="仿宋" w:eastAsia="仿宋"/>
          <w:bCs/>
          <w:sz w:val="30"/>
          <w:szCs w:val="30"/>
        </w:rPr>
        <w:t>”</w:t>
      </w:r>
      <w:r>
        <w:rPr>
          <w:rFonts w:ascii="仿宋" w:hAnsi="仿宋" w:eastAsia="仿宋"/>
          <w:bCs/>
          <w:sz w:val="30"/>
          <w:szCs w:val="30"/>
        </w:rPr>
        <w:t>建设，持续简化环节，规范招商引资项目入</w:t>
      </w:r>
      <w:r>
        <w:rPr>
          <w:rFonts w:hint="eastAsia" w:ascii="仿宋" w:hAnsi="仿宋" w:eastAsia="仿宋"/>
          <w:bCs/>
          <w:sz w:val="30"/>
          <w:szCs w:val="30"/>
        </w:rPr>
        <w:t>园</w:t>
      </w:r>
      <w:r>
        <w:rPr>
          <w:rFonts w:ascii="仿宋" w:hAnsi="仿宋" w:eastAsia="仿宋"/>
          <w:bCs/>
          <w:sz w:val="30"/>
          <w:szCs w:val="30"/>
        </w:rPr>
        <w:t>流程，促进招商引资工作科学化、制度化、程序化，做到让</w:t>
      </w:r>
      <w:r>
        <w:rPr>
          <w:rFonts w:hint="eastAsia" w:ascii="仿宋" w:hAnsi="仿宋" w:eastAsia="仿宋"/>
          <w:bCs/>
          <w:sz w:val="30"/>
          <w:szCs w:val="30"/>
        </w:rPr>
        <w:t>“</w:t>
      </w:r>
      <w:r>
        <w:rPr>
          <w:rFonts w:ascii="仿宋" w:hAnsi="仿宋" w:eastAsia="仿宋"/>
          <w:bCs/>
          <w:sz w:val="30"/>
          <w:szCs w:val="30"/>
        </w:rPr>
        <w:t>数据多跑路，投资商少跑腿</w:t>
      </w:r>
      <w:r>
        <w:rPr>
          <w:rFonts w:hint="eastAsia" w:ascii="仿宋" w:hAnsi="仿宋" w:eastAsia="仿宋"/>
          <w:bCs/>
          <w:sz w:val="30"/>
          <w:szCs w:val="30"/>
        </w:rPr>
        <w:t>”</w:t>
      </w:r>
      <w:r>
        <w:rPr>
          <w:rFonts w:ascii="仿宋" w:hAnsi="仿宋" w:eastAsia="仿宋"/>
          <w:bCs/>
          <w:sz w:val="30"/>
          <w:szCs w:val="30"/>
        </w:rPr>
        <w:t>，通过数字信息化、大数据以及人工智能技术，给</w:t>
      </w:r>
      <w:r>
        <w:rPr>
          <w:rFonts w:hint="eastAsia" w:ascii="仿宋" w:hAnsi="仿宋" w:eastAsia="仿宋"/>
          <w:bCs/>
          <w:sz w:val="30"/>
          <w:szCs w:val="30"/>
        </w:rPr>
        <w:t>投资主体</w:t>
      </w:r>
      <w:r>
        <w:rPr>
          <w:rFonts w:ascii="仿宋" w:hAnsi="仿宋" w:eastAsia="仿宋"/>
          <w:bCs/>
          <w:sz w:val="30"/>
          <w:szCs w:val="30"/>
        </w:rPr>
        <w:t>提供全方位的服务。</w:t>
      </w:r>
    </w:p>
    <w:p>
      <w:pPr>
        <w:adjustRightInd w:val="0"/>
        <w:snapToGrid w:val="0"/>
        <w:spacing w:line="360" w:lineRule="auto"/>
        <w:ind w:firstLine="602" w:firstLineChars="200"/>
        <w:rPr>
          <w:rFonts w:ascii="仿宋" w:hAnsi="仿宋" w:eastAsia="仿宋"/>
          <w:bCs/>
          <w:sz w:val="30"/>
          <w:szCs w:val="30"/>
        </w:rPr>
      </w:pPr>
      <w:r>
        <w:rPr>
          <w:rFonts w:hint="eastAsia" w:ascii="仿宋" w:hAnsi="仿宋" w:eastAsia="仿宋"/>
          <w:b/>
          <w:bCs/>
          <w:sz w:val="30"/>
          <w:szCs w:val="30"/>
        </w:rPr>
        <w:t>创新招商引资模式。</w:t>
      </w:r>
      <w:r>
        <w:rPr>
          <w:rFonts w:hint="eastAsia" w:ascii="仿宋" w:hAnsi="仿宋" w:eastAsia="仿宋"/>
          <w:bCs/>
          <w:sz w:val="30"/>
          <w:szCs w:val="30"/>
        </w:rPr>
        <w:t>围绕经开区绿色化工、食品饮料、先进材料、装备制造、电子信息等重点产业，吸引龙头企业和关联企业投资，延伸产业链条，谋求共同发展，形成倍增效应，实现产业链招商；通过为入驻企业配套建设标准厂房、职工宿舍等，或者按照招商引资企业需求配套好相应的生产车间和设备，减轻企业入驻成本及非生产性投入，缩短外来投资的项目建设周期，达到“轻资产招商”；利用政府引导基金的催化和杠杆作用，撬动社会资本注入，以股权投资和其它优惠政策，吸引其它地区的优质企业或优质产业项目转移至园区，实现产业基金招商；打破招商中的行政界线，让发达地区在不改变行政体制框架的情况下，把一些项目、资金、技术转移到产业园区，双方在产业规划、基础设施建设、税收分配等方面制定某种合作机制，实现飞地招商；借助大数据招商平台的“数据分析”和“人工智能决策”优势，筛选招商线索，提升“招商前”“招商中”“招商后”对被招商企业的动态监控，提高招商转化率，实现大数据招商。通过一系列招商引资方法的创新运用，助推投资意向转化，确保项目早日落地见效，实现产业高质量发展。</w:t>
      </w:r>
    </w:p>
    <w:p>
      <w:pPr>
        <w:adjustRightInd w:val="0"/>
        <w:snapToGrid w:val="0"/>
        <w:spacing w:line="360" w:lineRule="auto"/>
        <w:ind w:firstLine="602" w:firstLineChars="200"/>
        <w:rPr>
          <w:rFonts w:ascii="仿宋" w:hAnsi="仿宋" w:eastAsia="仿宋"/>
          <w:bCs/>
          <w:sz w:val="30"/>
          <w:szCs w:val="30"/>
        </w:rPr>
      </w:pPr>
      <w:r>
        <w:rPr>
          <w:rFonts w:hint="eastAsia" w:ascii="仿宋" w:hAnsi="仿宋" w:eastAsia="仿宋"/>
          <w:b/>
          <w:bCs/>
          <w:sz w:val="30"/>
          <w:szCs w:val="30"/>
        </w:rPr>
        <w:t>突出招引领军企业。</w:t>
      </w:r>
      <w:r>
        <w:rPr>
          <w:rFonts w:hint="eastAsia" w:ascii="仿宋" w:hAnsi="仿宋" w:eastAsia="仿宋"/>
          <w:bCs/>
          <w:sz w:val="30"/>
          <w:szCs w:val="30"/>
        </w:rPr>
        <w:t>按照全域招商、大招商、招大商的工作要求，全面实施“走出去”战略，精准分析产业链、绘制产业链全景图，找准园区主导产业在价值链中的产业领军企业、链核企业以及弱链、缺链等问题，以“强优势、补短板、提价值”为产业链提升方向，针对关键环节、重点企业、核心配套开展产业链配套招商，以形成具有完整产业链和生产性服务配套、非生产性服务配套、基础设施配套完善的产业发展体系，重点围绕全球500强、国内500强、行业100强、上市公司等开展招商引资，不断扩大园区有效投资，持续提升招商引资质效。</w:t>
      </w:r>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49" w:name="_Toc66118522"/>
      <w:bookmarkStart w:id="50" w:name="_Toc91676445"/>
      <w:r>
        <w:rPr>
          <w:rFonts w:hint="eastAsia" w:ascii="黑体" w:hAnsi="黑体" w:eastAsia="黑体" w:cs="Times New Roman"/>
          <w:bCs w:val="0"/>
          <w:color w:val="000000"/>
        </w:rPr>
        <w:t>第四节  打造绿色智慧园区</w:t>
      </w:r>
      <w:bookmarkEnd w:id="49"/>
      <w:bookmarkEnd w:id="50"/>
    </w:p>
    <w:p>
      <w:pPr>
        <w:adjustRightInd w:val="0"/>
        <w:snapToGrid w:val="0"/>
        <w:spacing w:line="360" w:lineRule="auto"/>
        <w:ind w:firstLine="600" w:firstLineChars="200"/>
        <w:rPr>
          <w:rFonts w:eastAsia="仿宋"/>
          <w:sz w:val="30"/>
          <w:szCs w:val="30"/>
        </w:rPr>
      </w:pPr>
      <w:r>
        <w:rPr>
          <w:rFonts w:eastAsia="仿宋"/>
          <w:sz w:val="30"/>
          <w:szCs w:val="30"/>
        </w:rPr>
        <w:t>构建</w:t>
      </w:r>
      <w:r>
        <w:rPr>
          <w:rFonts w:hint="eastAsia" w:eastAsia="仿宋"/>
          <w:sz w:val="30"/>
          <w:szCs w:val="30"/>
        </w:rPr>
        <w:t>“</w:t>
      </w:r>
      <w:r>
        <w:rPr>
          <w:rFonts w:eastAsia="仿宋"/>
          <w:sz w:val="30"/>
          <w:szCs w:val="30"/>
        </w:rPr>
        <w:t>集约、绿色、低碳、循环、可持续</w:t>
      </w:r>
      <w:r>
        <w:rPr>
          <w:rFonts w:hint="eastAsia" w:eastAsia="仿宋"/>
          <w:sz w:val="30"/>
          <w:szCs w:val="30"/>
        </w:rPr>
        <w:t>”的</w:t>
      </w:r>
      <w:r>
        <w:rPr>
          <w:rFonts w:eastAsia="仿宋"/>
          <w:sz w:val="30"/>
          <w:szCs w:val="30"/>
        </w:rPr>
        <w:t>循环经济体系，</w:t>
      </w:r>
      <w:r>
        <w:rPr>
          <w:rFonts w:hint="eastAsia" w:eastAsia="仿宋"/>
          <w:sz w:val="30"/>
          <w:szCs w:val="30"/>
        </w:rPr>
        <w:t>促进企业和园区产业数字化和管理智能化，</w:t>
      </w:r>
      <w:r>
        <w:rPr>
          <w:rFonts w:eastAsia="仿宋"/>
          <w:sz w:val="30"/>
          <w:szCs w:val="30"/>
        </w:rPr>
        <w:t>全方位推进</w:t>
      </w:r>
      <w:r>
        <w:rPr>
          <w:rFonts w:hint="eastAsia" w:eastAsia="仿宋"/>
          <w:sz w:val="30"/>
          <w:szCs w:val="30"/>
        </w:rPr>
        <w:t>园区循环化改造、工业清洁生产和智慧化工园区建设，实现园区健康、高质量发展。</w:t>
      </w:r>
    </w:p>
    <w:p>
      <w:pPr>
        <w:adjustRightInd w:val="0"/>
        <w:snapToGrid w:val="0"/>
        <w:spacing w:line="360" w:lineRule="auto"/>
        <w:ind w:firstLine="602" w:firstLineChars="200"/>
        <w:rPr>
          <w:rFonts w:eastAsia="仿宋"/>
          <w:sz w:val="30"/>
          <w:szCs w:val="30"/>
        </w:rPr>
      </w:pPr>
      <w:r>
        <w:rPr>
          <w:rFonts w:hint="eastAsia" w:eastAsia="仿宋"/>
          <w:b/>
          <w:sz w:val="30"/>
          <w:szCs w:val="30"/>
        </w:rPr>
        <w:t>推动园区循环化改造。</w:t>
      </w:r>
      <w:r>
        <w:rPr>
          <w:rFonts w:hint="eastAsia" w:eastAsia="仿宋"/>
          <w:sz w:val="30"/>
          <w:szCs w:val="30"/>
        </w:rPr>
        <w:t>按照生态工业学设计园区产业的生态工业链，</w:t>
      </w:r>
      <w:r>
        <w:rPr>
          <w:rFonts w:eastAsia="仿宋"/>
          <w:sz w:val="30"/>
          <w:szCs w:val="30"/>
        </w:rPr>
        <w:t>加强园区内产业间、企业间的共生耦合，</w:t>
      </w:r>
      <w:r>
        <w:rPr>
          <w:rFonts w:hint="eastAsia" w:eastAsia="仿宋"/>
          <w:sz w:val="30"/>
          <w:szCs w:val="30"/>
        </w:rPr>
        <w:t>推动园区内资源梯次开发和良性循环流动，</w:t>
      </w:r>
      <w:r>
        <w:rPr>
          <w:rFonts w:hint="eastAsia" w:ascii="仿宋" w:hAnsi="仿宋" w:eastAsia="仿宋" w:cs="Arial"/>
          <w:color w:val="191919"/>
          <w:sz w:val="30"/>
          <w:szCs w:val="30"/>
        </w:rPr>
        <w:t>持续推进企业小循环、产业中循环、园区大循环的三个层次的循环体系建设，</w:t>
      </w:r>
      <w:r>
        <w:rPr>
          <w:rFonts w:hint="eastAsia" w:eastAsia="仿宋"/>
          <w:sz w:val="30"/>
          <w:szCs w:val="30"/>
        </w:rPr>
        <w:t>推动园区循环化改造。</w:t>
      </w:r>
      <w:r>
        <w:rPr>
          <w:rFonts w:eastAsia="仿宋"/>
          <w:sz w:val="30"/>
          <w:szCs w:val="30"/>
        </w:rPr>
        <w:t>以</w:t>
      </w:r>
      <w:r>
        <w:rPr>
          <w:rFonts w:hint="eastAsia" w:eastAsia="仿宋"/>
          <w:sz w:val="30"/>
          <w:szCs w:val="30"/>
        </w:rPr>
        <w:t>“</w:t>
      </w:r>
      <w:r>
        <w:rPr>
          <w:rFonts w:eastAsia="仿宋"/>
          <w:sz w:val="30"/>
          <w:szCs w:val="30"/>
        </w:rPr>
        <w:t>资源—产品—再生资源—再生产品</w:t>
      </w:r>
      <w:r>
        <w:rPr>
          <w:rFonts w:hint="eastAsia" w:eastAsia="仿宋"/>
          <w:sz w:val="30"/>
          <w:szCs w:val="30"/>
        </w:rPr>
        <w:t>”</w:t>
      </w:r>
      <w:r>
        <w:rPr>
          <w:rFonts w:eastAsia="仿宋"/>
          <w:sz w:val="30"/>
          <w:szCs w:val="30"/>
        </w:rPr>
        <w:t>模式取代传统的</w:t>
      </w:r>
      <w:r>
        <w:rPr>
          <w:rFonts w:hint="eastAsia" w:eastAsia="仿宋"/>
          <w:sz w:val="30"/>
          <w:szCs w:val="30"/>
        </w:rPr>
        <w:t>“</w:t>
      </w:r>
      <w:r>
        <w:rPr>
          <w:rFonts w:eastAsia="仿宋"/>
          <w:sz w:val="30"/>
          <w:szCs w:val="30"/>
        </w:rPr>
        <w:t>资源—产品—废弃物</w:t>
      </w:r>
      <w:r>
        <w:rPr>
          <w:rFonts w:hint="eastAsia" w:eastAsia="仿宋"/>
          <w:sz w:val="30"/>
          <w:szCs w:val="30"/>
        </w:rPr>
        <w:t>”</w:t>
      </w:r>
      <w:r>
        <w:rPr>
          <w:rFonts w:eastAsia="仿宋"/>
          <w:sz w:val="30"/>
          <w:szCs w:val="30"/>
        </w:rPr>
        <w:t>模式，</w:t>
      </w:r>
      <w:r>
        <w:rPr>
          <w:rFonts w:hint="eastAsia" w:eastAsia="仿宋"/>
          <w:sz w:val="30"/>
          <w:szCs w:val="30"/>
        </w:rPr>
        <w:t>促进废弃物资源化、减量化和无害化，推动园区资源高效、循环利用和“零排放”，</w:t>
      </w:r>
      <w:r>
        <w:rPr>
          <w:rFonts w:eastAsia="仿宋"/>
          <w:sz w:val="30"/>
          <w:szCs w:val="30"/>
        </w:rPr>
        <w:t>实现物尽其用、变废为宝</w:t>
      </w:r>
      <w:r>
        <w:rPr>
          <w:rFonts w:hint="eastAsia" w:eastAsia="仿宋"/>
          <w:sz w:val="30"/>
          <w:szCs w:val="30"/>
        </w:rPr>
        <w:t>。鼓励首台（套）装备的使用，支持企业淘汰老旧设备，引进和购置先进设备，提升企业技术装备水平。大力发展高端再制造、智能再制造、在役再制造产业。实施循环经济重点工程建设，打造“园区循环化改造”示范试点园区。</w:t>
      </w:r>
    </w:p>
    <w:p>
      <w:pPr>
        <w:adjustRightInd w:val="0"/>
        <w:snapToGrid w:val="0"/>
        <w:spacing w:line="360" w:lineRule="auto"/>
        <w:ind w:firstLine="602" w:firstLineChars="200"/>
        <w:rPr>
          <w:rFonts w:eastAsia="仿宋"/>
          <w:sz w:val="30"/>
          <w:szCs w:val="30"/>
        </w:rPr>
      </w:pPr>
      <w:r>
        <w:rPr>
          <w:rFonts w:hint="eastAsia" w:eastAsia="仿宋"/>
          <w:b/>
          <w:sz w:val="30"/>
          <w:szCs w:val="30"/>
        </w:rPr>
        <w:t>深入推行工业清洁生产。</w:t>
      </w:r>
      <w:r>
        <w:rPr>
          <w:rFonts w:hint="eastAsia" w:eastAsia="仿宋"/>
          <w:sz w:val="30"/>
          <w:szCs w:val="30"/>
        </w:rPr>
        <w:t>加大投资支持力度，打通传统产业与绿色技术之间的通道，</w:t>
      </w:r>
      <w:r>
        <w:rPr>
          <w:rFonts w:eastAsia="仿宋"/>
          <w:sz w:val="30"/>
          <w:szCs w:val="30"/>
        </w:rPr>
        <w:t>加快推广绿色技术装备</w:t>
      </w:r>
      <w:r>
        <w:rPr>
          <w:rFonts w:hint="eastAsia" w:eastAsia="仿宋"/>
          <w:sz w:val="30"/>
          <w:szCs w:val="30"/>
        </w:rPr>
        <w:t>，将绿色技术、绿色工艺渗透应用到传统产业的各个环节。针对重点领域、重点区域和重点企业，实施能源清洁高效利用行动计划，推进产业绿色协同链接。鼓励食品饮料、装备制造、先进材料等行业开展节能环保改造，推动应用节能环保技术和高效节能产品，</w:t>
      </w:r>
      <w:r>
        <w:rPr>
          <w:rFonts w:eastAsia="仿宋"/>
          <w:sz w:val="30"/>
          <w:szCs w:val="30"/>
        </w:rPr>
        <w:t>加快新工艺、新技术在传统</w:t>
      </w:r>
      <w:r>
        <w:rPr>
          <w:rFonts w:hint="eastAsia" w:eastAsia="仿宋"/>
          <w:sz w:val="30"/>
          <w:szCs w:val="30"/>
        </w:rPr>
        <w:t>化工</w:t>
      </w:r>
      <w:r>
        <w:rPr>
          <w:rFonts w:eastAsia="仿宋"/>
          <w:sz w:val="30"/>
          <w:szCs w:val="30"/>
        </w:rPr>
        <w:t>产业中的应用，促进传统</w:t>
      </w:r>
      <w:r>
        <w:rPr>
          <w:rFonts w:hint="eastAsia" w:eastAsia="仿宋"/>
          <w:sz w:val="30"/>
          <w:szCs w:val="30"/>
        </w:rPr>
        <w:t>化工</w:t>
      </w:r>
      <w:r>
        <w:rPr>
          <w:rFonts w:eastAsia="仿宋"/>
          <w:sz w:val="30"/>
          <w:szCs w:val="30"/>
        </w:rPr>
        <w:t>向精细化工、新型化工转变</w:t>
      </w:r>
      <w:r>
        <w:rPr>
          <w:rFonts w:hint="eastAsia" w:eastAsia="仿宋"/>
          <w:sz w:val="30"/>
          <w:szCs w:val="30"/>
        </w:rPr>
        <w:t>，打造一批国家或省级绿色工厂。鼓励企业开发和应用清洁生产先进技术，大力发展科技含量高、资源消耗低、环境污染少的先进制造业，打造一批清洁生产先进企业。</w:t>
      </w:r>
    </w:p>
    <w:p>
      <w:pPr>
        <w:adjustRightInd w:val="0"/>
        <w:snapToGrid w:val="0"/>
        <w:spacing w:line="360" w:lineRule="auto"/>
        <w:ind w:firstLine="602" w:firstLineChars="200"/>
        <w:rPr>
          <w:rFonts w:eastAsia="仿宋"/>
          <w:sz w:val="30"/>
          <w:szCs w:val="30"/>
        </w:rPr>
      </w:pPr>
      <w:r>
        <w:rPr>
          <w:rFonts w:hint="eastAsia" w:eastAsia="仿宋"/>
          <w:b/>
          <w:sz w:val="30"/>
          <w:szCs w:val="30"/>
        </w:rPr>
        <w:t>推动智慧化工园区建设。</w:t>
      </w:r>
      <w:r>
        <w:rPr>
          <w:rFonts w:eastAsia="仿宋"/>
          <w:sz w:val="30"/>
          <w:szCs w:val="30"/>
        </w:rPr>
        <w:t>整合</w:t>
      </w:r>
      <w:r>
        <w:rPr>
          <w:rFonts w:hint="eastAsia" w:eastAsia="仿宋"/>
          <w:sz w:val="30"/>
          <w:szCs w:val="30"/>
        </w:rPr>
        <w:t>神仙桥产业园“化工园中园”</w:t>
      </w:r>
      <w:r>
        <w:rPr>
          <w:rFonts w:eastAsia="仿宋"/>
          <w:sz w:val="30"/>
          <w:szCs w:val="30"/>
        </w:rPr>
        <w:t>信息化资源，以实现</w:t>
      </w:r>
      <w:r>
        <w:rPr>
          <w:rFonts w:hint="eastAsia" w:eastAsia="仿宋"/>
          <w:sz w:val="30"/>
          <w:szCs w:val="30"/>
        </w:rPr>
        <w:t>“</w:t>
      </w:r>
      <w:r>
        <w:rPr>
          <w:rFonts w:eastAsia="仿宋"/>
          <w:sz w:val="30"/>
          <w:szCs w:val="30"/>
        </w:rPr>
        <w:t>企业生产、企业管理、基础设施、园区管理</w:t>
      </w:r>
      <w:r>
        <w:rPr>
          <w:rFonts w:hint="eastAsia" w:eastAsia="仿宋"/>
          <w:sz w:val="30"/>
          <w:szCs w:val="30"/>
        </w:rPr>
        <w:t>”</w:t>
      </w:r>
      <w:r>
        <w:rPr>
          <w:rFonts w:eastAsia="仿宋"/>
          <w:sz w:val="30"/>
          <w:szCs w:val="30"/>
        </w:rPr>
        <w:t>四个智能化为目标，积极推进智能制造，建设数字车间、智能工厂</w:t>
      </w:r>
      <w:r>
        <w:rPr>
          <w:rFonts w:hint="eastAsia" w:eastAsia="仿宋"/>
          <w:sz w:val="30"/>
          <w:szCs w:val="30"/>
        </w:rPr>
        <w:t>、智能化平台，</w:t>
      </w:r>
      <w:r>
        <w:rPr>
          <w:rFonts w:eastAsia="仿宋"/>
          <w:sz w:val="30"/>
          <w:szCs w:val="30"/>
        </w:rPr>
        <w:t>促进化工园区的</w:t>
      </w:r>
      <w:r>
        <w:rPr>
          <w:rFonts w:hint="eastAsia" w:eastAsia="仿宋"/>
          <w:sz w:val="30"/>
          <w:szCs w:val="30"/>
        </w:rPr>
        <w:t>改造</w:t>
      </w:r>
      <w:r>
        <w:rPr>
          <w:rFonts w:eastAsia="仿宋"/>
          <w:sz w:val="30"/>
          <w:szCs w:val="30"/>
        </w:rPr>
        <w:t>升级</w:t>
      </w:r>
      <w:r>
        <w:rPr>
          <w:rFonts w:hint="eastAsia" w:eastAsia="仿宋"/>
          <w:sz w:val="30"/>
          <w:szCs w:val="30"/>
        </w:rPr>
        <w:t>。</w:t>
      </w:r>
      <w:r>
        <w:rPr>
          <w:rFonts w:eastAsia="仿宋"/>
          <w:sz w:val="30"/>
          <w:szCs w:val="30"/>
        </w:rPr>
        <w:t>加快推动物联网、大数据、电子商务和智慧物流在</w:t>
      </w:r>
      <w:r>
        <w:rPr>
          <w:rFonts w:hint="eastAsia" w:eastAsia="仿宋"/>
          <w:sz w:val="30"/>
          <w:szCs w:val="30"/>
        </w:rPr>
        <w:t>化工</w:t>
      </w:r>
      <w:r>
        <w:rPr>
          <w:rFonts w:eastAsia="仿宋"/>
          <w:sz w:val="30"/>
          <w:szCs w:val="30"/>
        </w:rPr>
        <w:t>领域推广应用</w:t>
      </w:r>
      <w:r>
        <w:rPr>
          <w:rFonts w:hint="eastAsia" w:eastAsia="仿宋"/>
          <w:sz w:val="30"/>
          <w:szCs w:val="30"/>
        </w:rPr>
        <w:t>，</w:t>
      </w:r>
      <w:r>
        <w:rPr>
          <w:rFonts w:eastAsia="仿宋"/>
          <w:sz w:val="30"/>
          <w:szCs w:val="30"/>
        </w:rPr>
        <w:t>开展机器换人示范推广</w:t>
      </w:r>
      <w:r>
        <w:rPr>
          <w:rFonts w:hint="eastAsia" w:eastAsia="仿宋"/>
          <w:sz w:val="30"/>
          <w:szCs w:val="30"/>
        </w:rPr>
        <w:t>，打造</w:t>
      </w:r>
      <w:r>
        <w:rPr>
          <w:rFonts w:eastAsia="仿宋"/>
          <w:sz w:val="30"/>
          <w:szCs w:val="30"/>
        </w:rPr>
        <w:t>智能车间、</w:t>
      </w:r>
      <w:r>
        <w:rPr>
          <w:rFonts w:hint="eastAsia" w:eastAsia="仿宋"/>
          <w:sz w:val="30"/>
          <w:szCs w:val="30"/>
        </w:rPr>
        <w:t>智能工厂</w:t>
      </w:r>
      <w:r>
        <w:rPr>
          <w:rFonts w:eastAsia="仿宋"/>
          <w:sz w:val="30"/>
          <w:szCs w:val="30"/>
        </w:rPr>
        <w:t>。</w:t>
      </w:r>
      <w:r>
        <w:rPr>
          <w:rFonts w:hint="eastAsia" w:eastAsia="仿宋"/>
          <w:sz w:val="30"/>
          <w:szCs w:val="30"/>
        </w:rPr>
        <w:t>构建</w:t>
      </w:r>
      <w:r>
        <w:rPr>
          <w:rFonts w:eastAsia="仿宋"/>
          <w:sz w:val="30"/>
          <w:szCs w:val="30"/>
        </w:rPr>
        <w:t>包含化工园区内部各功能模块如安全、环保、封闭管理、应急救援、能源管理、管廊、安防、</w:t>
      </w:r>
      <w:r>
        <w:rPr>
          <w:rFonts w:hint="eastAsia" w:eastAsia="仿宋"/>
          <w:sz w:val="30"/>
          <w:szCs w:val="30"/>
        </w:rPr>
        <w:t>仓储</w:t>
      </w:r>
      <w:r>
        <w:rPr>
          <w:rFonts w:eastAsia="仿宋"/>
          <w:sz w:val="30"/>
          <w:szCs w:val="30"/>
        </w:rPr>
        <w:t>物流、公共服务、内外部信息系统集成、信息安全管理防护体系等</w:t>
      </w:r>
      <w:r>
        <w:rPr>
          <w:rFonts w:hint="eastAsia" w:eastAsia="仿宋"/>
          <w:sz w:val="30"/>
          <w:szCs w:val="30"/>
        </w:rPr>
        <w:t>的</w:t>
      </w:r>
      <w:r>
        <w:rPr>
          <w:rFonts w:eastAsia="仿宋"/>
          <w:sz w:val="30"/>
          <w:szCs w:val="30"/>
        </w:rPr>
        <w:t>智能化平台</w:t>
      </w:r>
      <w:r>
        <w:rPr>
          <w:rFonts w:hint="eastAsia" w:eastAsia="仿宋"/>
          <w:sz w:val="30"/>
          <w:szCs w:val="30"/>
        </w:rPr>
        <w:t>，</w:t>
      </w:r>
      <w:r>
        <w:rPr>
          <w:rFonts w:eastAsia="仿宋"/>
          <w:sz w:val="30"/>
          <w:szCs w:val="30"/>
        </w:rPr>
        <w:t>降低企业和园区管理难度</w:t>
      </w:r>
      <w:r>
        <w:rPr>
          <w:rFonts w:hint="eastAsia" w:eastAsia="仿宋"/>
          <w:sz w:val="30"/>
          <w:szCs w:val="30"/>
        </w:rPr>
        <w:t>。畅通</w:t>
      </w:r>
      <w:r>
        <w:rPr>
          <w:rFonts w:eastAsia="仿宋"/>
          <w:sz w:val="30"/>
          <w:szCs w:val="30"/>
        </w:rPr>
        <w:t>化工园区与外部如政府管理部门、应急管理部门、交通部门等的智能化连接通道</w:t>
      </w:r>
      <w:r>
        <w:rPr>
          <w:rFonts w:hint="eastAsia" w:eastAsia="仿宋"/>
          <w:sz w:val="30"/>
          <w:szCs w:val="30"/>
        </w:rPr>
        <w:t>，提升指挥协调和多部门参与配合管理的能力。</w:t>
      </w:r>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51" w:name="_Toc91676446"/>
      <w:bookmarkStart w:id="52" w:name="_Toc66118523"/>
      <w:r>
        <w:rPr>
          <w:rFonts w:hint="eastAsia" w:ascii="黑体" w:hAnsi="黑体" w:eastAsia="黑体" w:cs="Times New Roman"/>
          <w:bCs w:val="0"/>
          <w:color w:val="000000"/>
        </w:rPr>
        <w:t>第五节  加强企业梯度培育</w:t>
      </w:r>
      <w:bookmarkEnd w:id="51"/>
      <w:bookmarkEnd w:id="52"/>
    </w:p>
    <w:p>
      <w:pPr>
        <w:adjustRightInd w:val="0"/>
        <w:snapToGrid w:val="0"/>
        <w:spacing w:line="360" w:lineRule="auto"/>
        <w:ind w:firstLine="600" w:firstLineChars="200"/>
        <w:rPr>
          <w:rFonts w:eastAsia="仿宋"/>
          <w:sz w:val="30"/>
          <w:szCs w:val="30"/>
        </w:rPr>
      </w:pPr>
      <w:r>
        <w:rPr>
          <w:rFonts w:hint="eastAsia" w:eastAsia="仿宋"/>
          <w:sz w:val="30"/>
          <w:szCs w:val="30"/>
        </w:rPr>
        <w:t>围绕园区发展基础和重点产业，打造区域产业集群，吸引一批优秀的科技型中小企业落户，</w:t>
      </w:r>
      <w:r>
        <w:rPr>
          <w:rFonts w:eastAsia="仿宋"/>
          <w:sz w:val="30"/>
          <w:szCs w:val="30"/>
        </w:rPr>
        <w:t>加快培育一批行业</w:t>
      </w:r>
      <w:r>
        <w:rPr>
          <w:rFonts w:hint="eastAsia" w:eastAsia="仿宋"/>
          <w:sz w:val="30"/>
          <w:szCs w:val="30"/>
        </w:rPr>
        <w:t>名优</w:t>
      </w:r>
      <w:r>
        <w:rPr>
          <w:rFonts w:eastAsia="仿宋"/>
          <w:sz w:val="30"/>
          <w:szCs w:val="30"/>
        </w:rPr>
        <w:t>企业，</w:t>
      </w:r>
      <w:r>
        <w:rPr>
          <w:rFonts w:hint="eastAsia" w:eastAsia="仿宋"/>
          <w:sz w:val="30"/>
          <w:szCs w:val="30"/>
        </w:rPr>
        <w:t>积极打造行业领军企业，引导形成“头雁引领、群雁跟飞”的“雁阵”企业梯队，整体提升产业集群企业的市场竞争力。</w:t>
      </w:r>
    </w:p>
    <w:p>
      <w:pPr>
        <w:adjustRightInd w:val="0"/>
        <w:snapToGrid w:val="0"/>
        <w:spacing w:line="360" w:lineRule="auto"/>
        <w:ind w:firstLine="602" w:firstLineChars="200"/>
        <w:rPr>
          <w:rFonts w:ascii="仿宋" w:hAnsi="仿宋" w:eastAsia="仿宋" w:cs="Arial"/>
          <w:sz w:val="30"/>
          <w:szCs w:val="30"/>
        </w:rPr>
      </w:pPr>
      <w:r>
        <w:rPr>
          <w:rFonts w:ascii="仿宋" w:hAnsi="仿宋" w:eastAsia="仿宋"/>
          <w:b/>
          <w:sz w:val="30"/>
          <w:szCs w:val="30"/>
        </w:rPr>
        <w:t>吸引优秀科技型中小企业落户</w:t>
      </w:r>
      <w:r>
        <w:rPr>
          <w:rFonts w:hint="eastAsia" w:ascii="仿宋" w:hAnsi="仿宋" w:eastAsia="仿宋"/>
          <w:b/>
          <w:sz w:val="30"/>
          <w:szCs w:val="30"/>
        </w:rPr>
        <w:t>。</w:t>
      </w:r>
      <w:r>
        <w:rPr>
          <w:rFonts w:hint="eastAsia" w:eastAsia="仿宋"/>
          <w:sz w:val="30"/>
          <w:szCs w:val="30"/>
        </w:rPr>
        <w:t>以武珞电子信息产</w:t>
      </w:r>
      <w:r>
        <w:rPr>
          <w:rFonts w:hint="eastAsia" w:ascii="仿宋" w:hAnsi="仿宋" w:eastAsia="仿宋"/>
          <w:bCs/>
          <w:sz w:val="30"/>
          <w:szCs w:val="30"/>
        </w:rPr>
        <w:t>业园、北京仁创泸州金砂产业园、汉唐酒业生产基地建设为契机，以延链、补链、强链为目标，大力招引相关产业优秀科技型中小企业进入智能制造产业园、绿色化工产业园、电子信息产业园、物流产业园等专业性“园中园”，</w:t>
      </w:r>
      <w:r>
        <w:rPr>
          <w:rFonts w:ascii="仿宋" w:hAnsi="仿宋" w:eastAsia="仿宋" w:cs="Arial"/>
          <w:sz w:val="30"/>
          <w:szCs w:val="30"/>
        </w:rPr>
        <w:t>鼓励各类人才到</w:t>
      </w:r>
      <w:r>
        <w:rPr>
          <w:rFonts w:hint="eastAsia" w:ascii="仿宋" w:hAnsi="仿宋" w:eastAsia="仿宋" w:cs="Arial"/>
          <w:sz w:val="30"/>
          <w:szCs w:val="30"/>
        </w:rPr>
        <w:t>园区创新创业</w:t>
      </w:r>
      <w:r>
        <w:rPr>
          <w:rFonts w:ascii="仿宋" w:hAnsi="仿宋" w:eastAsia="仿宋" w:cs="Arial"/>
          <w:sz w:val="30"/>
          <w:szCs w:val="30"/>
        </w:rPr>
        <w:t>，积极扩大初创期科技型中小企业群体规模。借力中介机构，集聚创新资源，加快研发机构和公共服务平台建设，加大科技资金、金融信贷扶持和企业家培训力度，推动成长期科技型中小企业快速发展</w:t>
      </w:r>
      <w:r>
        <w:rPr>
          <w:rFonts w:hint="eastAsia" w:ascii="仿宋" w:hAnsi="仿宋" w:eastAsia="仿宋" w:cs="Arial"/>
          <w:sz w:val="30"/>
          <w:szCs w:val="30"/>
        </w:rPr>
        <w:t>。</w:t>
      </w:r>
      <w:r>
        <w:rPr>
          <w:rFonts w:eastAsia="仿宋"/>
          <w:sz w:val="30"/>
          <w:szCs w:val="30"/>
        </w:rPr>
        <w:t>切实掌握</w:t>
      </w:r>
      <w:r>
        <w:rPr>
          <w:rFonts w:hint="eastAsia" w:eastAsia="仿宋"/>
          <w:sz w:val="30"/>
          <w:szCs w:val="30"/>
        </w:rPr>
        <w:t>园区</w:t>
      </w:r>
      <w:r>
        <w:rPr>
          <w:rFonts w:eastAsia="仿宋"/>
          <w:sz w:val="30"/>
          <w:szCs w:val="30"/>
        </w:rPr>
        <w:t>小微企业真实情况，</w:t>
      </w:r>
      <w:r>
        <w:rPr>
          <w:rFonts w:ascii="仿宋" w:hAnsi="仿宋" w:eastAsia="仿宋" w:cs="Arial"/>
          <w:sz w:val="30"/>
          <w:szCs w:val="30"/>
        </w:rPr>
        <w:t>完善小微企业扶持政策，</w:t>
      </w:r>
      <w:r>
        <w:rPr>
          <w:rFonts w:eastAsia="仿宋"/>
          <w:sz w:val="30"/>
          <w:szCs w:val="30"/>
        </w:rPr>
        <w:t>充实壮大小微企业培育库，</w:t>
      </w:r>
      <w:r>
        <w:rPr>
          <w:rFonts w:ascii="仿宋" w:hAnsi="仿宋" w:eastAsia="仿宋" w:cs="Arial"/>
          <w:sz w:val="30"/>
          <w:szCs w:val="30"/>
        </w:rPr>
        <w:t>培育</w:t>
      </w:r>
      <w:r>
        <w:rPr>
          <w:rFonts w:hint="eastAsia" w:ascii="仿宋" w:hAnsi="仿宋" w:eastAsia="仿宋" w:cs="Arial"/>
          <w:sz w:val="30"/>
          <w:szCs w:val="30"/>
        </w:rPr>
        <w:t>“</w:t>
      </w:r>
      <w:r>
        <w:rPr>
          <w:rFonts w:ascii="仿宋" w:hAnsi="仿宋" w:eastAsia="仿宋" w:cs="Arial"/>
          <w:sz w:val="30"/>
          <w:szCs w:val="30"/>
        </w:rPr>
        <w:t>微巨人</w:t>
      </w:r>
      <w:r>
        <w:rPr>
          <w:rFonts w:hint="eastAsia" w:ascii="仿宋" w:hAnsi="仿宋" w:eastAsia="仿宋" w:cs="Arial"/>
          <w:sz w:val="30"/>
          <w:szCs w:val="30"/>
        </w:rPr>
        <w:t>”</w:t>
      </w:r>
      <w:r>
        <w:rPr>
          <w:rFonts w:ascii="仿宋" w:hAnsi="仿宋" w:eastAsia="仿宋" w:cs="Arial"/>
          <w:sz w:val="30"/>
          <w:szCs w:val="30"/>
        </w:rPr>
        <w:t>企业群</w:t>
      </w:r>
      <w:r>
        <w:rPr>
          <w:rFonts w:hint="eastAsia" w:ascii="仿宋" w:hAnsi="仿宋" w:eastAsia="仿宋" w:cs="Arial"/>
          <w:sz w:val="30"/>
          <w:szCs w:val="30"/>
        </w:rPr>
        <w:t>。</w:t>
      </w:r>
      <w:r>
        <w:rPr>
          <w:rFonts w:eastAsia="仿宋"/>
          <w:sz w:val="30"/>
          <w:szCs w:val="30"/>
        </w:rPr>
        <w:t>全面推进</w:t>
      </w:r>
      <w:r>
        <w:rPr>
          <w:rFonts w:hint="eastAsia" w:eastAsia="仿宋"/>
          <w:sz w:val="30"/>
          <w:szCs w:val="30"/>
        </w:rPr>
        <w:t>园区“</w:t>
      </w:r>
      <w:r>
        <w:rPr>
          <w:rFonts w:eastAsia="仿宋"/>
          <w:sz w:val="30"/>
          <w:szCs w:val="30"/>
        </w:rPr>
        <w:t>小升规</w:t>
      </w:r>
      <w:r>
        <w:rPr>
          <w:rFonts w:hint="eastAsia" w:eastAsia="仿宋"/>
          <w:sz w:val="30"/>
          <w:szCs w:val="30"/>
        </w:rPr>
        <w:t>”工作，</w:t>
      </w:r>
      <w:r>
        <w:rPr>
          <w:rFonts w:eastAsia="仿宋"/>
          <w:sz w:val="30"/>
          <w:szCs w:val="30"/>
        </w:rPr>
        <w:t>实施</w:t>
      </w:r>
      <w:r>
        <w:rPr>
          <w:rFonts w:hint="eastAsia" w:eastAsia="仿宋"/>
          <w:sz w:val="30"/>
          <w:szCs w:val="30"/>
        </w:rPr>
        <w:t>“</w:t>
      </w:r>
      <w:r>
        <w:rPr>
          <w:rFonts w:eastAsia="仿宋"/>
          <w:sz w:val="30"/>
          <w:szCs w:val="30"/>
        </w:rPr>
        <w:t>小巨人</w:t>
      </w:r>
      <w:r>
        <w:rPr>
          <w:rFonts w:hint="eastAsia" w:eastAsia="仿宋"/>
          <w:sz w:val="30"/>
          <w:szCs w:val="30"/>
        </w:rPr>
        <w:t>”</w:t>
      </w:r>
      <w:r>
        <w:rPr>
          <w:rFonts w:eastAsia="仿宋"/>
          <w:sz w:val="30"/>
          <w:szCs w:val="30"/>
        </w:rPr>
        <w:t>计划，大力实施</w:t>
      </w:r>
      <w:r>
        <w:rPr>
          <w:rFonts w:hint="eastAsia" w:eastAsia="仿宋"/>
          <w:sz w:val="30"/>
          <w:szCs w:val="30"/>
        </w:rPr>
        <w:t>“</w:t>
      </w:r>
      <w:r>
        <w:rPr>
          <w:rFonts w:eastAsia="仿宋"/>
          <w:sz w:val="30"/>
          <w:szCs w:val="30"/>
        </w:rPr>
        <w:t>专、精、特、新</w:t>
      </w:r>
      <w:r>
        <w:rPr>
          <w:rFonts w:hint="eastAsia" w:eastAsia="仿宋"/>
          <w:sz w:val="30"/>
          <w:szCs w:val="30"/>
        </w:rPr>
        <w:t>”</w:t>
      </w:r>
      <w:r>
        <w:rPr>
          <w:rFonts w:eastAsia="仿宋"/>
          <w:sz w:val="30"/>
          <w:szCs w:val="30"/>
        </w:rPr>
        <w:t>中小企业培育工程，支持企业向专业化、精细化、特色化、新颖化方向发展</w:t>
      </w:r>
      <w:r>
        <w:rPr>
          <w:rFonts w:hint="eastAsia" w:eastAsia="仿宋"/>
          <w:sz w:val="30"/>
          <w:szCs w:val="30"/>
        </w:rPr>
        <w:t>，提升中小企业核心竞争力。</w:t>
      </w:r>
    </w:p>
    <w:p>
      <w:pPr>
        <w:adjustRightInd w:val="0"/>
        <w:snapToGrid w:val="0"/>
        <w:spacing w:line="360" w:lineRule="auto"/>
        <w:ind w:firstLine="602" w:firstLineChars="200"/>
        <w:rPr>
          <w:rFonts w:eastAsia="仿宋"/>
          <w:sz w:val="30"/>
          <w:szCs w:val="30"/>
        </w:rPr>
      </w:pPr>
      <w:r>
        <w:rPr>
          <w:rFonts w:eastAsia="仿宋"/>
          <w:b/>
          <w:sz w:val="30"/>
          <w:szCs w:val="30"/>
        </w:rPr>
        <w:t>加快培育行业</w:t>
      </w:r>
      <w:r>
        <w:rPr>
          <w:rFonts w:hint="eastAsia" w:eastAsia="仿宋"/>
          <w:b/>
          <w:sz w:val="30"/>
          <w:szCs w:val="30"/>
        </w:rPr>
        <w:t>名优</w:t>
      </w:r>
      <w:r>
        <w:rPr>
          <w:rFonts w:eastAsia="仿宋"/>
          <w:b/>
          <w:sz w:val="30"/>
          <w:szCs w:val="30"/>
        </w:rPr>
        <w:t>企业</w:t>
      </w:r>
      <w:r>
        <w:rPr>
          <w:rFonts w:hint="eastAsia" w:eastAsia="仿宋"/>
          <w:b/>
          <w:sz w:val="30"/>
          <w:szCs w:val="30"/>
        </w:rPr>
        <w:t>。</w:t>
      </w:r>
      <w:r>
        <w:rPr>
          <w:rFonts w:hint="eastAsia" w:eastAsia="仿宋"/>
          <w:sz w:val="30"/>
          <w:szCs w:val="30"/>
        </w:rPr>
        <w:t>围绕中国质量奖、天府质量奖评价标准，</w:t>
      </w:r>
      <w:r>
        <w:rPr>
          <w:rFonts w:eastAsia="仿宋"/>
          <w:sz w:val="30"/>
          <w:szCs w:val="30"/>
        </w:rPr>
        <w:t>通过帮助企业开展全员质量培训、全面导入质量管理体系、采用国家或行业先进标准、产品质量水平对比提升等质量提升精准服务，支持</w:t>
      </w:r>
      <w:r>
        <w:rPr>
          <w:rFonts w:hint="eastAsia" w:eastAsia="仿宋"/>
          <w:sz w:val="30"/>
          <w:szCs w:val="30"/>
        </w:rPr>
        <w:t>一批</w:t>
      </w:r>
      <w:r>
        <w:rPr>
          <w:rFonts w:eastAsia="仿宋"/>
          <w:sz w:val="30"/>
          <w:szCs w:val="30"/>
        </w:rPr>
        <w:t>科技型、成长型中小企业全面提升质量保证能力</w:t>
      </w:r>
      <w:r>
        <w:rPr>
          <w:rFonts w:hint="eastAsia" w:eastAsia="仿宋"/>
          <w:sz w:val="30"/>
          <w:szCs w:val="30"/>
        </w:rPr>
        <w:t>，提升企业产品质量水平</w:t>
      </w:r>
      <w:r>
        <w:rPr>
          <w:rFonts w:eastAsia="仿宋"/>
          <w:sz w:val="30"/>
          <w:szCs w:val="30"/>
        </w:rPr>
        <w:t>。</w:t>
      </w:r>
      <w:r>
        <w:rPr>
          <w:rFonts w:hint="eastAsia" w:eastAsia="仿宋"/>
          <w:sz w:val="30"/>
          <w:szCs w:val="30"/>
        </w:rPr>
        <w:t>完善</w:t>
      </w:r>
      <w:r>
        <w:rPr>
          <w:rFonts w:eastAsia="仿宋"/>
          <w:sz w:val="30"/>
          <w:szCs w:val="30"/>
        </w:rPr>
        <w:t>工业品牌管理体系</w:t>
      </w:r>
      <w:r>
        <w:rPr>
          <w:rFonts w:hint="eastAsia" w:eastAsia="仿宋"/>
          <w:sz w:val="30"/>
          <w:szCs w:val="30"/>
        </w:rPr>
        <w:t>，协同推进产品品牌、企业品牌、区域品牌建设</w:t>
      </w:r>
      <w:r>
        <w:rPr>
          <w:rFonts w:eastAsia="仿宋"/>
          <w:sz w:val="30"/>
          <w:szCs w:val="30"/>
        </w:rPr>
        <w:t>。</w:t>
      </w:r>
      <w:r>
        <w:rPr>
          <w:rFonts w:hint="eastAsia" w:eastAsia="仿宋"/>
          <w:sz w:val="30"/>
          <w:szCs w:val="30"/>
        </w:rPr>
        <w:t>组织咨询机构深入龙头企业和高成长性中小企业，制定品牌培育计划，系统学习四川品牌认证标准，学习标杆企业先进经验，提升企业品牌创建服务水平。</w:t>
      </w:r>
      <w:r>
        <w:rPr>
          <w:rFonts w:eastAsia="仿宋"/>
          <w:sz w:val="30"/>
          <w:szCs w:val="30"/>
        </w:rPr>
        <w:t>组织开展</w:t>
      </w:r>
      <w:r>
        <w:rPr>
          <w:rFonts w:hint="eastAsia" w:eastAsia="仿宋"/>
          <w:sz w:val="30"/>
          <w:szCs w:val="30"/>
        </w:rPr>
        <w:t>名优</w:t>
      </w:r>
      <w:r>
        <w:rPr>
          <w:rFonts w:eastAsia="仿宋"/>
          <w:sz w:val="30"/>
          <w:szCs w:val="30"/>
        </w:rPr>
        <w:t>品牌建设试点、示范活动，</w:t>
      </w:r>
      <w:r>
        <w:rPr>
          <w:rFonts w:hint="eastAsia" w:eastAsia="仿宋"/>
          <w:sz w:val="30"/>
          <w:szCs w:val="30"/>
        </w:rPr>
        <w:t>引导企业增强品牌意识，强化企业品牌建设的主体地位，激发企业品牌创建内生动力，提升品牌培育和营销能力，打造一批品质高端、市场认可、社会赞誉的优势品牌和自主商标品牌，支持企业创建驰名商标。</w:t>
      </w:r>
    </w:p>
    <w:p>
      <w:pPr>
        <w:adjustRightInd w:val="0"/>
        <w:snapToGrid w:val="0"/>
        <w:spacing w:line="360" w:lineRule="auto"/>
        <w:ind w:firstLine="602" w:firstLineChars="200"/>
        <w:rPr>
          <w:rFonts w:eastAsia="仿宋"/>
          <w:sz w:val="30"/>
          <w:szCs w:val="30"/>
        </w:rPr>
      </w:pPr>
      <w:r>
        <w:rPr>
          <w:rFonts w:hint="eastAsia" w:eastAsia="仿宋"/>
          <w:b/>
          <w:sz w:val="30"/>
          <w:szCs w:val="30"/>
        </w:rPr>
        <w:t>积极打造行业领军企业。</w:t>
      </w:r>
      <w:r>
        <w:rPr>
          <w:rFonts w:ascii="仿宋" w:hAnsi="仿宋" w:eastAsia="仿宋" w:cs="Arial"/>
          <w:sz w:val="30"/>
          <w:szCs w:val="30"/>
        </w:rPr>
        <w:t>将成长速度快、创新能力强、专业领域新、发展潜力大的高新技术企业、科技小巨人企业纳入库内实施动态管理，对处于不同发展阶段的企业精准施策，提供政策、金融、人才、专业服务等全方位支持和服务，依托高校院所科技、人才、平台等资源，加快培育一大批单项冠军、隐形冠军</w:t>
      </w:r>
      <w:r>
        <w:rPr>
          <w:rFonts w:hint="eastAsia" w:ascii="仿宋" w:hAnsi="仿宋" w:eastAsia="仿宋" w:cs="Arial"/>
          <w:sz w:val="30"/>
          <w:szCs w:val="30"/>
        </w:rPr>
        <w:t>、</w:t>
      </w:r>
      <w:r>
        <w:rPr>
          <w:rFonts w:ascii="仿宋" w:hAnsi="仿宋" w:eastAsia="仿宋" w:cs="Arial"/>
          <w:sz w:val="30"/>
          <w:szCs w:val="30"/>
        </w:rPr>
        <w:t>种子企业、准独角兽企业和独角兽企业等高质量发展企业。</w:t>
      </w:r>
      <w:r>
        <w:rPr>
          <w:rFonts w:hint="eastAsia" w:eastAsia="仿宋"/>
          <w:sz w:val="30"/>
          <w:szCs w:val="30"/>
        </w:rPr>
        <w:t>实施“大企业大集团领航计划”，</w:t>
      </w:r>
      <w:r>
        <w:rPr>
          <w:rFonts w:eastAsia="仿宋"/>
          <w:sz w:val="30"/>
          <w:szCs w:val="30"/>
        </w:rPr>
        <w:t>按照市场主导、企业主体、政策扶持、扶优育强的思路，重点培育一批技术先进、核心竞争强、优势明显的</w:t>
      </w:r>
      <w:r>
        <w:rPr>
          <w:rFonts w:hint="eastAsia" w:eastAsia="仿宋"/>
          <w:sz w:val="30"/>
          <w:szCs w:val="30"/>
        </w:rPr>
        <w:t>大型</w:t>
      </w:r>
      <w:r>
        <w:rPr>
          <w:rFonts w:eastAsia="仿宋"/>
          <w:sz w:val="30"/>
          <w:szCs w:val="30"/>
        </w:rPr>
        <w:t>企业</w:t>
      </w:r>
      <w:r>
        <w:rPr>
          <w:rFonts w:hint="eastAsia" w:eastAsia="仿宋"/>
          <w:sz w:val="30"/>
          <w:szCs w:val="30"/>
        </w:rPr>
        <w:t>集团，打造一批本地行业龙头企业。</w:t>
      </w:r>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53" w:name="_Toc91676447"/>
      <w:bookmarkStart w:id="54" w:name="_Toc66118524"/>
      <w:bookmarkStart w:id="55" w:name="_Toc64378658"/>
      <w:r>
        <w:rPr>
          <w:rFonts w:hint="eastAsia" w:ascii="黑体" w:hAnsi="黑体" w:eastAsia="黑体" w:cs="Times New Roman"/>
          <w:bCs w:val="0"/>
          <w:color w:val="000000"/>
        </w:rPr>
        <w:t>第六节  强化工业安全生产</w:t>
      </w:r>
      <w:bookmarkEnd w:id="53"/>
      <w:bookmarkEnd w:id="54"/>
      <w:bookmarkEnd w:id="55"/>
    </w:p>
    <w:p>
      <w:pPr>
        <w:autoSpaceDE w:val="0"/>
        <w:autoSpaceDN w:val="0"/>
        <w:adjustRightInd w:val="0"/>
        <w:snapToGrid w:val="0"/>
        <w:spacing w:line="360" w:lineRule="auto"/>
        <w:ind w:firstLine="600" w:firstLineChars="200"/>
        <w:rPr>
          <w:rFonts w:ascii="仿宋" w:hAnsi="仿宋" w:eastAsia="仿宋"/>
          <w:bCs/>
          <w:sz w:val="30"/>
          <w:szCs w:val="30"/>
        </w:rPr>
      </w:pPr>
      <w:r>
        <w:rPr>
          <w:rFonts w:hint="eastAsia" w:ascii="仿宋" w:hAnsi="仿宋" w:eastAsia="仿宋"/>
          <w:bCs/>
          <w:sz w:val="30"/>
          <w:szCs w:val="30"/>
        </w:rPr>
        <w:t>建立城西工业园和神仙桥产业园“两园”协同联动的安全生产体系，</w:t>
      </w:r>
      <w:r>
        <w:rPr>
          <w:rFonts w:ascii="仿宋" w:hAnsi="仿宋" w:eastAsia="仿宋" w:cstheme="minorBidi"/>
          <w:bCs/>
          <w:sz w:val="30"/>
          <w:szCs w:val="30"/>
        </w:rPr>
        <w:t>规范园区安全生产管理，</w:t>
      </w:r>
      <w:r>
        <w:rPr>
          <w:rFonts w:hint="eastAsia" w:eastAsia="仿宋"/>
          <w:sz w:val="30"/>
          <w:szCs w:val="30"/>
        </w:rPr>
        <w:t>实施最严格的治理整顿，防控化解重大安全风险，</w:t>
      </w:r>
      <w:r>
        <w:rPr>
          <w:rFonts w:ascii="仿宋" w:hAnsi="仿宋" w:eastAsia="仿宋" w:cstheme="minorBidi"/>
          <w:bCs/>
          <w:sz w:val="30"/>
          <w:szCs w:val="30"/>
        </w:rPr>
        <w:t>促进</w:t>
      </w:r>
      <w:r>
        <w:rPr>
          <w:rFonts w:hint="eastAsia" w:ascii="仿宋" w:hAnsi="仿宋" w:eastAsia="仿宋"/>
          <w:bCs/>
          <w:sz w:val="30"/>
          <w:szCs w:val="30"/>
        </w:rPr>
        <w:t>园区工业</w:t>
      </w:r>
      <w:r>
        <w:rPr>
          <w:rFonts w:hint="eastAsia" w:ascii="仿宋" w:hAnsi="仿宋" w:eastAsia="仿宋" w:cstheme="minorBidi"/>
          <w:bCs/>
          <w:sz w:val="30"/>
          <w:szCs w:val="30"/>
        </w:rPr>
        <w:t>安全</w:t>
      </w:r>
      <w:r>
        <w:rPr>
          <w:rFonts w:hint="eastAsia" w:ascii="仿宋" w:hAnsi="仿宋" w:eastAsia="仿宋"/>
          <w:bCs/>
          <w:sz w:val="30"/>
          <w:szCs w:val="30"/>
        </w:rPr>
        <w:t>良性</w:t>
      </w:r>
      <w:r>
        <w:rPr>
          <w:rFonts w:ascii="仿宋" w:hAnsi="仿宋" w:eastAsia="仿宋" w:cstheme="minorBidi"/>
          <w:bCs/>
          <w:sz w:val="30"/>
          <w:szCs w:val="30"/>
        </w:rPr>
        <w:t>发展</w:t>
      </w:r>
      <w:r>
        <w:rPr>
          <w:rFonts w:hint="eastAsia" w:ascii="仿宋" w:hAnsi="仿宋" w:eastAsia="仿宋"/>
          <w:bCs/>
          <w:sz w:val="30"/>
          <w:szCs w:val="30"/>
        </w:rPr>
        <w:t>。</w:t>
      </w:r>
    </w:p>
    <w:p>
      <w:pPr>
        <w:autoSpaceDE w:val="0"/>
        <w:autoSpaceDN w:val="0"/>
        <w:adjustRightInd w:val="0"/>
        <w:snapToGrid w:val="0"/>
        <w:spacing w:line="360" w:lineRule="auto"/>
        <w:ind w:firstLine="602" w:firstLineChars="200"/>
        <w:rPr>
          <w:rFonts w:ascii="仿宋" w:hAnsi="仿宋" w:eastAsia="仿宋"/>
          <w:sz w:val="30"/>
          <w:szCs w:val="30"/>
        </w:rPr>
      </w:pPr>
      <w:r>
        <w:rPr>
          <w:rFonts w:hint="eastAsia" w:ascii="仿宋" w:hAnsi="仿宋" w:eastAsia="仿宋"/>
          <w:b/>
          <w:bCs/>
          <w:sz w:val="30"/>
          <w:szCs w:val="30"/>
        </w:rPr>
        <w:t>加强安全生产宣传教育。</w:t>
      </w:r>
      <w:r>
        <w:rPr>
          <w:rFonts w:hint="eastAsia" w:ascii="仿宋" w:hAnsi="仿宋" w:eastAsia="仿宋"/>
          <w:bCs/>
          <w:sz w:val="30"/>
          <w:szCs w:val="30"/>
        </w:rPr>
        <w:t>组织开展安全生产宣传教育工作，采用各种群众喜闻乐见的方式，广泛宣传国家安全生产方针政策，普及安全生产知识，提高全社会的安全意识，加强安全文化建设。</w:t>
      </w:r>
      <w:r>
        <w:rPr>
          <w:rFonts w:hint="eastAsia" w:ascii="仿宋" w:hAnsi="仿宋" w:eastAsia="仿宋"/>
          <w:sz w:val="30"/>
          <w:szCs w:val="30"/>
        </w:rPr>
        <w:t>建立明确的安全宣传制度，拓展相应的宣传手段，包括社区安全活动、资料派发等。加大宣传力度和密度，对园区周边有居民聚集或其他类型企业的社区开展全面的安全宣传活动，使周边人员了解使用危化品区域可能存在的危险以及可能发生事故需要采取的措施，使其具备相应的防护和逃生知识。</w:t>
      </w:r>
    </w:p>
    <w:p>
      <w:pPr>
        <w:autoSpaceDE w:val="0"/>
        <w:autoSpaceDN w:val="0"/>
        <w:adjustRightInd w:val="0"/>
        <w:snapToGrid w:val="0"/>
        <w:spacing w:line="360" w:lineRule="auto"/>
        <w:ind w:firstLine="602" w:firstLineChars="200"/>
        <w:rPr>
          <w:rFonts w:ascii="仿宋" w:hAnsi="仿宋" w:eastAsia="仿宋"/>
          <w:b/>
          <w:sz w:val="30"/>
          <w:szCs w:val="30"/>
        </w:rPr>
      </w:pPr>
      <w:r>
        <w:rPr>
          <w:rFonts w:hint="eastAsia" w:ascii="仿宋" w:hAnsi="仿宋" w:eastAsia="仿宋"/>
          <w:b/>
          <w:sz w:val="30"/>
          <w:szCs w:val="30"/>
        </w:rPr>
        <w:t>设立专门的</w:t>
      </w:r>
      <w:r>
        <w:rPr>
          <w:rFonts w:hint="eastAsia" w:ascii="仿宋" w:hAnsi="仿宋" w:eastAsia="仿宋"/>
          <w:b/>
          <w:bCs/>
          <w:sz w:val="30"/>
          <w:szCs w:val="30"/>
        </w:rPr>
        <w:t>安全生产监管和应急管理机构。</w:t>
      </w:r>
      <w:r>
        <w:rPr>
          <w:rFonts w:hint="eastAsia" w:ascii="仿宋" w:hAnsi="仿宋" w:eastAsia="仿宋"/>
          <w:bCs/>
          <w:sz w:val="30"/>
          <w:szCs w:val="30"/>
        </w:rPr>
        <w:t>园区成立专门的安全生产监督管理和应急管理部门（应急管理中心），主要负责:</w:t>
      </w:r>
      <w:r>
        <w:rPr>
          <w:rFonts w:ascii="仿宋" w:hAnsi="仿宋" w:eastAsia="仿宋"/>
          <w:bCs/>
          <w:sz w:val="30"/>
          <w:szCs w:val="30"/>
        </w:rPr>
        <w:t>(1)</w:t>
      </w:r>
      <w:r>
        <w:rPr>
          <w:rFonts w:hint="eastAsia" w:ascii="仿宋" w:hAnsi="仿宋" w:eastAsia="仿宋"/>
          <w:bCs/>
          <w:sz w:val="30"/>
          <w:szCs w:val="30"/>
        </w:rPr>
        <w:t>对园区内重大危险源、重点单位、道路交通、气象等状况进行</w:t>
      </w:r>
      <w:r>
        <w:rPr>
          <w:rFonts w:ascii="仿宋" w:hAnsi="仿宋" w:eastAsia="仿宋"/>
          <w:bCs/>
          <w:sz w:val="30"/>
          <w:szCs w:val="30"/>
        </w:rPr>
        <w:t>24</w:t>
      </w:r>
      <w:r>
        <w:rPr>
          <w:rFonts w:hint="eastAsia" w:ascii="仿宋" w:hAnsi="仿宋" w:eastAsia="仿宋"/>
          <w:bCs/>
          <w:sz w:val="30"/>
          <w:szCs w:val="30"/>
        </w:rPr>
        <w:t>小时的动态监测、监控并对监测、监控的信息进行收集汇总、风险分析；</w:t>
      </w:r>
      <w:r>
        <w:rPr>
          <w:rFonts w:ascii="仿宋" w:hAnsi="仿宋" w:eastAsia="仿宋"/>
          <w:bCs/>
          <w:sz w:val="30"/>
          <w:szCs w:val="30"/>
        </w:rPr>
        <w:t>(2)</w:t>
      </w:r>
      <w:r>
        <w:rPr>
          <w:rFonts w:hint="eastAsia" w:ascii="仿宋" w:hAnsi="仿宋" w:eastAsia="仿宋"/>
          <w:bCs/>
          <w:sz w:val="30"/>
          <w:szCs w:val="30"/>
        </w:rPr>
        <w:t>园区应急预案管理和演习；</w:t>
      </w:r>
      <w:r>
        <w:rPr>
          <w:rFonts w:ascii="仿宋" w:hAnsi="仿宋" w:eastAsia="仿宋"/>
          <w:bCs/>
          <w:sz w:val="30"/>
          <w:szCs w:val="30"/>
        </w:rPr>
        <w:t>(3)</w:t>
      </w:r>
      <w:r>
        <w:rPr>
          <w:rFonts w:hint="eastAsia" w:ascii="仿宋" w:hAnsi="仿宋" w:eastAsia="仿宋"/>
          <w:bCs/>
          <w:sz w:val="30"/>
          <w:szCs w:val="30"/>
        </w:rPr>
        <w:t>承担园区为主的消防、化学救援、安全生产、环境保护、防灾减灾等功能的协调管理工作；</w:t>
      </w:r>
      <w:r>
        <w:rPr>
          <w:rFonts w:ascii="仿宋" w:hAnsi="仿宋" w:eastAsia="仿宋"/>
          <w:bCs/>
          <w:sz w:val="30"/>
          <w:szCs w:val="30"/>
        </w:rPr>
        <w:t>(4)</w:t>
      </w:r>
      <w:r>
        <w:rPr>
          <w:rFonts w:hint="eastAsia" w:ascii="仿宋" w:hAnsi="仿宋" w:eastAsia="仿宋"/>
          <w:bCs/>
          <w:sz w:val="30"/>
          <w:szCs w:val="30"/>
        </w:rPr>
        <w:t>实现园区生产安全事故的预警、报警和提供辅助决策，进行先期处置，并根据应急预案进行分级响应；</w:t>
      </w:r>
      <w:r>
        <w:rPr>
          <w:rFonts w:ascii="仿宋" w:hAnsi="仿宋" w:eastAsia="仿宋"/>
          <w:bCs/>
          <w:sz w:val="30"/>
          <w:szCs w:val="30"/>
        </w:rPr>
        <w:t>(5)</w:t>
      </w:r>
      <w:r>
        <w:rPr>
          <w:rFonts w:hint="eastAsia" w:ascii="仿宋" w:hAnsi="仿宋" w:eastAsia="仿宋"/>
          <w:bCs/>
          <w:sz w:val="30"/>
          <w:szCs w:val="30"/>
        </w:rPr>
        <w:t xml:space="preserve">承担应急业务培训、应急常识普及、事故信息联合发布等工作。 </w:t>
      </w:r>
    </w:p>
    <w:p>
      <w:pPr>
        <w:autoSpaceDE w:val="0"/>
        <w:autoSpaceDN w:val="0"/>
        <w:adjustRightInd w:val="0"/>
        <w:snapToGrid w:val="0"/>
        <w:spacing w:line="360" w:lineRule="auto"/>
        <w:ind w:firstLine="602" w:firstLineChars="200"/>
        <w:rPr>
          <w:rFonts w:ascii="仿宋" w:hAnsi="仿宋" w:eastAsia="仿宋"/>
          <w:sz w:val="30"/>
          <w:szCs w:val="30"/>
        </w:rPr>
      </w:pPr>
      <w:r>
        <w:rPr>
          <w:rFonts w:hint="eastAsia" w:ascii="仿宋" w:hAnsi="仿宋" w:eastAsia="仿宋"/>
          <w:b/>
          <w:sz w:val="30"/>
          <w:szCs w:val="30"/>
        </w:rPr>
        <w:t>提升事故预防与应急管理能力。</w:t>
      </w:r>
      <w:r>
        <w:rPr>
          <w:rFonts w:hint="eastAsia" w:ascii="仿宋" w:hAnsi="仿宋" w:eastAsia="仿宋"/>
          <w:bCs/>
          <w:sz w:val="30"/>
          <w:szCs w:val="30"/>
        </w:rPr>
        <w:t>合理规划园区各功能区布局，足额配备园区应急救援人员和装备，</w:t>
      </w:r>
      <w:r>
        <w:rPr>
          <w:rFonts w:hint="eastAsia" w:ascii="仿宋" w:hAnsi="仿宋" w:eastAsia="仿宋"/>
          <w:sz w:val="30"/>
          <w:szCs w:val="30"/>
        </w:rPr>
        <w:t>完善安全生产目标管理考核措施，提升园区风险防控和应急处置能力。科学制定整体性和企业内部应急救援预案。园区级应急救援预案应进行整合，根据相应的园区级应急管理机构的设置情况，将各企业与园区的应急预案体系整合为一个整体性应急救援预案，增强其可操作性和人员、设备力量的高效性；园区企业制订或修订应急救援预案时，应充分考虑与周边企业的相互事故影响和协防。强化事故演练次数和频率。尽快理顺园区的整体性应急体系和机制，并通过实践进行磨合和调整；园区内企业的事故演练应考虑与可能产生相互影响的周边企业一同进行，并做好本企业消防力量与消防依托力量的协作分工。</w:t>
      </w:r>
    </w:p>
    <w:p>
      <w:pPr>
        <w:autoSpaceDE w:val="0"/>
        <w:autoSpaceDN w:val="0"/>
        <w:adjustRightInd w:val="0"/>
        <w:snapToGrid w:val="0"/>
        <w:spacing w:line="360" w:lineRule="auto"/>
        <w:ind w:firstLine="602" w:firstLineChars="200"/>
        <w:rPr>
          <w:rFonts w:ascii="仿宋" w:hAnsi="仿宋" w:eastAsia="仿宋"/>
          <w:bCs/>
          <w:sz w:val="30"/>
          <w:szCs w:val="30"/>
        </w:rPr>
      </w:pPr>
      <w:r>
        <w:rPr>
          <w:rFonts w:hint="eastAsia" w:ascii="仿宋" w:hAnsi="仿宋" w:eastAsia="仿宋"/>
          <w:b/>
          <w:bCs/>
          <w:sz w:val="30"/>
          <w:szCs w:val="30"/>
        </w:rPr>
        <w:t>强化化工园区安全生产管理。</w:t>
      </w:r>
      <w:r>
        <w:rPr>
          <w:rFonts w:hint="eastAsia" w:ascii="仿宋" w:hAnsi="仿宋" w:eastAsia="仿宋"/>
          <w:bCs/>
          <w:sz w:val="30"/>
          <w:szCs w:val="30"/>
        </w:rPr>
        <w:t>将神仙桥产业园化工“园中园”安全生产放在首位，按照“分类控制、分级管理、分步实施”要求，结合产业结构、产业链特点、安全风险类型等实际情况，做好“园中园”及周边的合理规划，分区实行封闭化管理。集中布局专门用于危险化学品生产、储存的区域，保持足够的安全防护距离和缓冲带，充分利用信息化等手段对危险废物种类、产生量、流向、贮存、处置、转移等全链条的风险实施监督和管理。</w:t>
      </w:r>
      <w:r>
        <w:rPr>
          <w:rFonts w:hint="eastAsia" w:ascii="仿宋" w:hAnsi="仿宋" w:eastAsia="仿宋"/>
          <w:sz w:val="30"/>
          <w:szCs w:val="30"/>
        </w:rPr>
        <w:t>建设应急救援物资库、安全应急救援队及装备、安全应急救援指挥中心、应急救援医疗中心和应急救援专家库，建立完善的安全生产监测监控和风险预警体系并将相关监测监控数据接入地方监测预警系统，</w:t>
      </w:r>
      <w:r>
        <w:rPr>
          <w:rFonts w:hint="eastAsia" w:ascii="仿宋" w:hAnsi="仿宋" w:eastAsia="仿宋"/>
          <w:bCs/>
          <w:sz w:val="30"/>
          <w:szCs w:val="30"/>
        </w:rPr>
        <w:t>防范危险化学品重特大安全事故，系统提升化工“园中园”本质安全水平。</w:t>
      </w:r>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56" w:name="_Toc91676448"/>
      <w:r>
        <w:rPr>
          <w:rFonts w:hint="eastAsia" w:ascii="黑体" w:hAnsi="黑体" w:eastAsia="黑体" w:cs="Times New Roman"/>
          <w:bCs w:val="0"/>
          <w:color w:val="000000"/>
        </w:rPr>
        <w:t>第七节  加大环境保护力度</w:t>
      </w:r>
      <w:bookmarkEnd w:id="56"/>
    </w:p>
    <w:p>
      <w:pPr>
        <w:adjustRightInd w:val="0"/>
        <w:snapToGrid w:val="0"/>
        <w:spacing w:line="360" w:lineRule="auto"/>
        <w:ind w:firstLine="600" w:firstLineChars="200"/>
        <w:rPr>
          <w:rFonts w:ascii="仿宋" w:hAnsi="仿宋" w:eastAsia="仿宋"/>
          <w:sz w:val="30"/>
          <w:szCs w:val="30"/>
        </w:rPr>
      </w:pPr>
      <w:r>
        <w:rPr>
          <w:rFonts w:hint="eastAsia" w:ascii="仿宋" w:hAnsi="仿宋" w:eastAsia="仿宋"/>
          <w:sz w:val="30"/>
          <w:szCs w:val="30"/>
        </w:rPr>
        <w:t>加大经开区各园区环境保护力度，落实环境保护主体责任，强化环境保护源头准入，加大园区水环境污染、大气污染、固废污染、噪音污染的治理力度，提升园区环境保护能力。</w:t>
      </w:r>
    </w:p>
    <w:p>
      <w:pPr>
        <w:adjustRightInd w:val="0"/>
        <w:snapToGrid w:val="0"/>
        <w:spacing w:line="360" w:lineRule="auto"/>
        <w:ind w:firstLine="602" w:firstLineChars="200"/>
        <w:rPr>
          <w:rFonts w:ascii="仿宋" w:hAnsi="仿宋" w:eastAsia="仿宋"/>
          <w:sz w:val="30"/>
          <w:szCs w:val="30"/>
        </w:rPr>
      </w:pPr>
      <w:r>
        <w:rPr>
          <w:rFonts w:hint="eastAsia" w:ascii="仿宋" w:hAnsi="仿宋" w:eastAsia="仿宋"/>
          <w:b/>
          <w:sz w:val="30"/>
          <w:szCs w:val="30"/>
        </w:rPr>
        <w:t>强化环境保护源头准入。</w:t>
      </w:r>
      <w:r>
        <w:rPr>
          <w:rFonts w:hint="eastAsia" w:ascii="仿宋" w:hAnsi="仿宋" w:eastAsia="仿宋" w:cs="Arial"/>
          <w:color w:val="191919"/>
          <w:sz w:val="30"/>
          <w:szCs w:val="30"/>
        </w:rPr>
        <w:t>围绕开发区重点领域和发展目标，重视培育企业之间的关联度，提高招商引资的质量和水平，努力形成产业之间的配套关系，延伸产业链条，推进综合循环利用。要根据区域环境承载力、生态保护红线、环境质量底线、资源利用上线等条件，制定开发区新建项目的环境准入“负面清单”，重点引进发展</w:t>
      </w:r>
      <w:r>
        <w:rPr>
          <w:rFonts w:ascii="仿宋" w:hAnsi="仿宋" w:eastAsia="仿宋" w:cs="Arial"/>
          <w:color w:val="191919"/>
          <w:sz w:val="30"/>
          <w:szCs w:val="30"/>
        </w:rPr>
        <w:t>工艺水平高、污染排放和环境风险低的</w:t>
      </w:r>
      <w:r>
        <w:rPr>
          <w:rFonts w:hint="eastAsia" w:ascii="仿宋" w:hAnsi="仿宋" w:eastAsia="仿宋" w:cs="Arial"/>
          <w:color w:val="191919"/>
          <w:sz w:val="30"/>
          <w:szCs w:val="30"/>
        </w:rPr>
        <w:t>项目。新建项目的生产工艺、设备、污染治理技术以及单位产品能耗、物耗、污染物排放和资源利用率均应达到相关标准。入园建设项目必须严格执行国家产业政策，依法进行环境影响评价，落实各项环保要求。加强对在建和已建项目在环境保护方面的事中事后监管，严格依法查处和纠正建设项目违法违规行为。</w:t>
      </w:r>
      <w:r>
        <w:rPr>
          <w:rFonts w:hint="eastAsia" w:ascii="仿宋" w:hAnsi="仿宋" w:eastAsia="仿宋"/>
          <w:sz w:val="30"/>
          <w:szCs w:val="30"/>
        </w:rPr>
        <w:t>针对有特殊要求的化工“园中园”，要严格</w:t>
      </w:r>
      <w:r>
        <w:rPr>
          <w:rFonts w:ascii="仿宋" w:hAnsi="仿宋" w:eastAsia="仿宋"/>
          <w:sz w:val="30"/>
          <w:szCs w:val="30"/>
        </w:rPr>
        <w:t>规范入园项目技术要求</w:t>
      </w:r>
      <w:r>
        <w:rPr>
          <w:rFonts w:hint="eastAsia" w:ascii="仿宋" w:hAnsi="仿宋" w:eastAsia="仿宋"/>
          <w:sz w:val="30"/>
          <w:szCs w:val="30"/>
        </w:rPr>
        <w:t>，入园</w:t>
      </w:r>
      <w:r>
        <w:rPr>
          <w:rFonts w:ascii="仿宋" w:hAnsi="仿宋" w:eastAsia="仿宋"/>
          <w:sz w:val="30"/>
          <w:szCs w:val="30"/>
        </w:rPr>
        <w:t>项目必须符合国家产业结构调整的要求</w:t>
      </w:r>
      <w:r>
        <w:rPr>
          <w:rFonts w:hint="eastAsia" w:ascii="仿宋" w:hAnsi="仿宋" w:eastAsia="仿宋"/>
          <w:sz w:val="30"/>
          <w:szCs w:val="30"/>
        </w:rPr>
        <w:t>；</w:t>
      </w:r>
      <w:r>
        <w:rPr>
          <w:rFonts w:ascii="仿宋" w:hAnsi="仿宋" w:eastAsia="仿宋"/>
          <w:sz w:val="30"/>
          <w:szCs w:val="30"/>
        </w:rPr>
        <w:t>明确园区污染物排放总量，实行园区污染物排放总量控制</w:t>
      </w:r>
      <w:r>
        <w:rPr>
          <w:rFonts w:hint="eastAsia" w:ascii="仿宋" w:hAnsi="仿宋" w:eastAsia="仿宋"/>
          <w:sz w:val="30"/>
          <w:szCs w:val="30"/>
        </w:rPr>
        <w:t>；</w:t>
      </w:r>
      <w:r>
        <w:rPr>
          <w:rFonts w:ascii="仿宋" w:hAnsi="仿宋" w:eastAsia="仿宋"/>
          <w:sz w:val="30"/>
          <w:szCs w:val="30"/>
        </w:rPr>
        <w:t>深化入园项目环境影响评价工作</w:t>
      </w:r>
      <w:r>
        <w:rPr>
          <w:rFonts w:hint="eastAsia" w:ascii="仿宋" w:hAnsi="仿宋" w:eastAsia="仿宋"/>
          <w:sz w:val="30"/>
          <w:szCs w:val="30"/>
        </w:rPr>
        <w:t>，</w:t>
      </w:r>
      <w:r>
        <w:rPr>
          <w:rFonts w:ascii="仿宋" w:hAnsi="仿宋" w:eastAsia="仿宋"/>
          <w:sz w:val="30"/>
          <w:szCs w:val="30"/>
        </w:rPr>
        <w:t>将环境风险评价作为危险化学品入园项目环境影响评价的重要内容</w:t>
      </w:r>
      <w:r>
        <w:rPr>
          <w:rFonts w:hint="eastAsia" w:ascii="仿宋" w:hAnsi="仿宋" w:eastAsia="仿宋"/>
          <w:sz w:val="30"/>
          <w:szCs w:val="30"/>
        </w:rPr>
        <w:t>；建立完善的生态环境监测监控和风险预警体系，并将相关监测监控数据接入地方监测预警系统；</w:t>
      </w:r>
      <w:r>
        <w:rPr>
          <w:rFonts w:ascii="仿宋" w:hAnsi="仿宋" w:eastAsia="仿宋"/>
          <w:sz w:val="30"/>
          <w:szCs w:val="30"/>
        </w:rPr>
        <w:t>完善园区环保基础设施建设和运行管理，确保各类污染治理设施长期稳定运行。</w:t>
      </w:r>
    </w:p>
    <w:p>
      <w:pPr>
        <w:adjustRightInd w:val="0"/>
        <w:snapToGrid w:val="0"/>
        <w:spacing w:line="360" w:lineRule="auto"/>
        <w:ind w:firstLine="602" w:firstLineChars="200"/>
        <w:rPr>
          <w:rFonts w:ascii="仿宋" w:hAnsi="仿宋" w:eastAsia="仿宋"/>
          <w:color w:val="000000"/>
          <w:sz w:val="30"/>
          <w:szCs w:val="30"/>
        </w:rPr>
      </w:pPr>
      <w:r>
        <w:rPr>
          <w:rFonts w:hint="eastAsia" w:ascii="仿宋" w:hAnsi="仿宋" w:eastAsia="仿宋"/>
          <w:b/>
          <w:bCs/>
          <w:sz w:val="30"/>
          <w:szCs w:val="30"/>
        </w:rPr>
        <w:t>水环境污染防治。</w:t>
      </w:r>
      <w:r>
        <w:rPr>
          <w:rFonts w:hint="eastAsia" w:ascii="仿宋" w:hAnsi="仿宋" w:eastAsia="仿宋"/>
          <w:color w:val="000000"/>
          <w:sz w:val="30"/>
          <w:szCs w:val="30"/>
        </w:rPr>
        <w:t>进一步</w:t>
      </w:r>
      <w:r>
        <w:rPr>
          <w:rFonts w:ascii="仿宋" w:hAnsi="仿宋" w:eastAsia="仿宋"/>
          <w:color w:val="000000"/>
          <w:sz w:val="30"/>
          <w:szCs w:val="30"/>
        </w:rPr>
        <w:t>落实加强流域水污染源治理，园区污染物排放应</w:t>
      </w:r>
      <w:r>
        <w:rPr>
          <w:rFonts w:hint="eastAsia" w:ascii="仿宋" w:hAnsi="仿宋" w:eastAsia="仿宋"/>
          <w:color w:val="000000"/>
          <w:sz w:val="30"/>
          <w:szCs w:val="30"/>
        </w:rPr>
        <w:t>预先</w:t>
      </w:r>
      <w:r>
        <w:rPr>
          <w:rFonts w:ascii="仿宋" w:hAnsi="仿宋" w:eastAsia="仿宋"/>
          <w:color w:val="000000"/>
          <w:sz w:val="30"/>
          <w:szCs w:val="30"/>
        </w:rPr>
        <w:t>纳入当地环保部门</w:t>
      </w:r>
      <w:r>
        <w:rPr>
          <w:rFonts w:hint="eastAsia" w:ascii="仿宋" w:hAnsi="仿宋" w:eastAsia="仿宋"/>
          <w:color w:val="000000"/>
          <w:sz w:val="30"/>
          <w:szCs w:val="30"/>
        </w:rPr>
        <w:t>环境统计，</w:t>
      </w:r>
      <w:r>
        <w:rPr>
          <w:rFonts w:hint="eastAsia" w:ascii="仿宋" w:hAnsi="仿宋" w:eastAsia="仿宋"/>
          <w:bCs/>
          <w:color w:val="000000"/>
          <w:sz w:val="30"/>
          <w:szCs w:val="30"/>
        </w:rPr>
        <w:t>确定园区允许的水污染物排放量，实施水污染物总量管控。</w:t>
      </w:r>
      <w:r>
        <w:rPr>
          <w:rFonts w:ascii="仿宋" w:hAnsi="仿宋" w:eastAsia="仿宋"/>
          <w:color w:val="000000"/>
          <w:sz w:val="30"/>
          <w:szCs w:val="30"/>
        </w:rPr>
        <w:t>构筑厂区、园区、社会三层防范措施</w:t>
      </w:r>
      <w:r>
        <w:rPr>
          <w:rFonts w:hint="eastAsia" w:ascii="仿宋" w:hAnsi="仿宋" w:eastAsia="仿宋"/>
          <w:color w:val="000000"/>
          <w:sz w:val="30"/>
          <w:szCs w:val="30"/>
        </w:rPr>
        <w:t>，园区或企业应设置足够容量的事故废水收集系统，</w:t>
      </w:r>
      <w:r>
        <w:rPr>
          <w:rFonts w:hint="eastAsia" w:ascii="仿宋" w:hAnsi="仿宋" w:eastAsia="仿宋"/>
          <w:bCs/>
          <w:color w:val="000000"/>
          <w:sz w:val="30"/>
          <w:szCs w:val="30"/>
        </w:rPr>
        <w:t>采取先进可靠的工业污水处理工艺并实施中水回用。</w:t>
      </w:r>
      <w:r>
        <w:rPr>
          <w:rFonts w:hint="eastAsia" w:ascii="仿宋" w:hAnsi="仿宋" w:eastAsia="仿宋"/>
          <w:color w:val="000000"/>
          <w:sz w:val="30"/>
          <w:szCs w:val="30"/>
        </w:rPr>
        <w:t>针对各区域地下水特征，有针对性地</w:t>
      </w:r>
      <w:r>
        <w:rPr>
          <w:rFonts w:ascii="仿宋" w:hAnsi="仿宋" w:eastAsia="仿宋"/>
          <w:color w:val="000000"/>
          <w:sz w:val="30"/>
          <w:szCs w:val="30"/>
        </w:rPr>
        <w:t>做好</w:t>
      </w:r>
      <w:r>
        <w:rPr>
          <w:rFonts w:hint="eastAsia" w:ascii="仿宋" w:hAnsi="仿宋" w:eastAsia="仿宋"/>
          <w:color w:val="000000"/>
          <w:sz w:val="30"/>
          <w:szCs w:val="30"/>
        </w:rPr>
        <w:t>生产装置区、</w:t>
      </w:r>
      <w:r>
        <w:rPr>
          <w:rFonts w:ascii="仿宋" w:hAnsi="仿宋" w:eastAsia="仿宋"/>
          <w:color w:val="000000"/>
          <w:sz w:val="30"/>
          <w:szCs w:val="30"/>
        </w:rPr>
        <w:t>储罐</w:t>
      </w:r>
      <w:r>
        <w:rPr>
          <w:rFonts w:hint="eastAsia" w:ascii="仿宋" w:hAnsi="仿宋" w:eastAsia="仿宋"/>
          <w:color w:val="000000"/>
          <w:sz w:val="30"/>
          <w:szCs w:val="30"/>
        </w:rPr>
        <w:t>区、废水排污管道等</w:t>
      </w:r>
      <w:r>
        <w:rPr>
          <w:rFonts w:ascii="仿宋" w:hAnsi="仿宋" w:eastAsia="仿宋"/>
          <w:color w:val="000000"/>
          <w:sz w:val="30"/>
          <w:szCs w:val="30"/>
        </w:rPr>
        <w:t>防渗措施</w:t>
      </w:r>
      <w:r>
        <w:rPr>
          <w:rFonts w:hint="eastAsia" w:ascii="仿宋" w:hAnsi="仿宋" w:eastAsia="仿宋"/>
          <w:color w:val="000000"/>
          <w:sz w:val="30"/>
          <w:szCs w:val="30"/>
        </w:rPr>
        <w:t>，</w:t>
      </w:r>
      <w:r>
        <w:rPr>
          <w:rFonts w:ascii="仿宋" w:hAnsi="仿宋" w:eastAsia="仿宋"/>
          <w:color w:val="000000"/>
          <w:sz w:val="30"/>
          <w:szCs w:val="30"/>
        </w:rPr>
        <w:t>并建立在线监测设施，时刻关注水质变化情况</w:t>
      </w:r>
      <w:r>
        <w:rPr>
          <w:rFonts w:hint="eastAsia" w:ascii="仿宋" w:hAnsi="仿宋" w:eastAsia="仿宋"/>
          <w:color w:val="000000"/>
          <w:sz w:val="30"/>
          <w:szCs w:val="30"/>
        </w:rPr>
        <w:t>。园区企业要</w:t>
      </w:r>
      <w:r>
        <w:rPr>
          <w:rFonts w:ascii="仿宋" w:hAnsi="仿宋" w:eastAsia="仿宋"/>
          <w:color w:val="000000"/>
          <w:sz w:val="30"/>
          <w:szCs w:val="30"/>
        </w:rPr>
        <w:t>从源头控制，减少废水排放量</w:t>
      </w:r>
      <w:r>
        <w:rPr>
          <w:rFonts w:hint="eastAsia" w:ascii="仿宋" w:hAnsi="仿宋" w:eastAsia="仿宋"/>
          <w:color w:val="000000"/>
          <w:sz w:val="30"/>
          <w:szCs w:val="30"/>
        </w:rPr>
        <w:t>；</w:t>
      </w:r>
      <w:r>
        <w:rPr>
          <w:rFonts w:ascii="仿宋" w:hAnsi="仿宋" w:eastAsia="仿宋"/>
          <w:color w:val="000000"/>
          <w:sz w:val="30"/>
          <w:szCs w:val="30"/>
        </w:rPr>
        <w:t>通过改进工艺、建立</w:t>
      </w:r>
      <w:r>
        <w:rPr>
          <w:rFonts w:hint="eastAsia" w:ascii="仿宋" w:hAnsi="仿宋" w:eastAsia="仿宋"/>
          <w:color w:val="000000"/>
          <w:sz w:val="30"/>
          <w:szCs w:val="30"/>
        </w:rPr>
        <w:t>中水</w:t>
      </w:r>
      <w:r>
        <w:rPr>
          <w:rFonts w:ascii="仿宋" w:hAnsi="仿宋" w:eastAsia="仿宋"/>
          <w:color w:val="000000"/>
          <w:sz w:val="30"/>
          <w:szCs w:val="30"/>
        </w:rPr>
        <w:t>回用设施</w:t>
      </w:r>
      <w:r>
        <w:rPr>
          <w:rFonts w:hint="eastAsia" w:ascii="仿宋" w:hAnsi="仿宋" w:eastAsia="仿宋"/>
          <w:color w:val="000000"/>
          <w:sz w:val="30"/>
          <w:szCs w:val="30"/>
        </w:rPr>
        <w:t>，</w:t>
      </w:r>
      <w:r>
        <w:rPr>
          <w:rFonts w:ascii="仿宋" w:hAnsi="仿宋" w:eastAsia="仿宋"/>
          <w:color w:val="000000"/>
          <w:sz w:val="30"/>
          <w:szCs w:val="30"/>
        </w:rPr>
        <w:t>提高</w:t>
      </w:r>
      <w:r>
        <w:rPr>
          <w:rFonts w:hint="eastAsia" w:ascii="仿宋" w:hAnsi="仿宋" w:eastAsia="仿宋"/>
          <w:color w:val="000000"/>
          <w:sz w:val="30"/>
          <w:szCs w:val="30"/>
        </w:rPr>
        <w:t>企业工业用水的重复利用率，从而</w:t>
      </w:r>
      <w:r>
        <w:rPr>
          <w:rFonts w:ascii="仿宋" w:hAnsi="仿宋" w:eastAsia="仿宋"/>
          <w:color w:val="000000"/>
          <w:sz w:val="30"/>
          <w:szCs w:val="30"/>
        </w:rPr>
        <w:t>降低水耗及排污</w:t>
      </w:r>
      <w:r>
        <w:rPr>
          <w:rFonts w:hint="eastAsia" w:ascii="仿宋" w:hAnsi="仿宋" w:eastAsia="仿宋"/>
          <w:color w:val="000000"/>
          <w:sz w:val="30"/>
          <w:szCs w:val="30"/>
        </w:rPr>
        <w:t>量；企业废水经企业自行处理达到园区污水厂入管要求后送园区污水处理厂。针对神仙桥产业园化工“园中园”，要</w:t>
      </w:r>
      <w:r>
        <w:rPr>
          <w:rFonts w:ascii="仿宋" w:hAnsi="仿宋" w:eastAsia="仿宋"/>
          <w:color w:val="000000"/>
          <w:sz w:val="30"/>
          <w:szCs w:val="30"/>
        </w:rPr>
        <w:t>确保园内企业排水接管率达100%</w:t>
      </w:r>
      <w:r>
        <w:rPr>
          <w:rFonts w:hint="eastAsia" w:ascii="仿宋" w:hAnsi="仿宋" w:eastAsia="仿宋"/>
          <w:color w:val="000000"/>
          <w:sz w:val="30"/>
          <w:szCs w:val="30"/>
        </w:rPr>
        <w:t>，</w:t>
      </w:r>
      <w:r>
        <w:rPr>
          <w:rFonts w:ascii="仿宋" w:hAnsi="仿宋" w:eastAsia="仿宋"/>
          <w:color w:val="000000"/>
          <w:sz w:val="30"/>
          <w:szCs w:val="30"/>
        </w:rPr>
        <w:t>企业应做到“清污分流、雨污分流”，实现废水分类收集、分质处理，并对废水进行预处理，达到园区污水处理厂接管要求后，方可接入园区污水处理厂集中处理。</w:t>
      </w:r>
    </w:p>
    <w:p>
      <w:pPr>
        <w:adjustRightInd w:val="0"/>
        <w:snapToGrid w:val="0"/>
        <w:spacing w:line="360" w:lineRule="auto"/>
        <w:ind w:firstLine="602" w:firstLineChars="200"/>
        <w:rPr>
          <w:rFonts w:ascii="仿宋" w:hAnsi="仿宋" w:eastAsia="仿宋"/>
          <w:color w:val="000000"/>
          <w:sz w:val="30"/>
          <w:szCs w:val="30"/>
        </w:rPr>
      </w:pPr>
      <w:r>
        <w:rPr>
          <w:rFonts w:hint="eastAsia" w:ascii="仿宋" w:hAnsi="仿宋" w:eastAsia="仿宋"/>
          <w:b/>
          <w:bCs/>
          <w:sz w:val="30"/>
          <w:szCs w:val="30"/>
        </w:rPr>
        <w:t>大气污染环境防治。</w:t>
      </w:r>
      <w:r>
        <w:rPr>
          <w:rFonts w:ascii="仿宋" w:hAnsi="仿宋" w:eastAsia="仿宋"/>
          <w:bCs/>
          <w:color w:val="000000"/>
          <w:sz w:val="30"/>
          <w:szCs w:val="30"/>
        </w:rPr>
        <w:t>园区能源结构应以天然气、电等清洁能源为主；</w:t>
      </w:r>
      <w:r>
        <w:rPr>
          <w:rFonts w:ascii="仿宋" w:hAnsi="仿宋" w:eastAsia="仿宋"/>
          <w:color w:val="000000"/>
          <w:sz w:val="30"/>
          <w:szCs w:val="30"/>
        </w:rPr>
        <w:t>推广应用高效节能环保型锅炉，加强</w:t>
      </w:r>
      <w:r>
        <w:rPr>
          <w:rFonts w:hint="eastAsia" w:ascii="仿宋" w:hAnsi="仿宋" w:eastAsia="仿宋"/>
          <w:color w:val="000000"/>
          <w:sz w:val="30"/>
          <w:szCs w:val="30"/>
        </w:rPr>
        <w:t>园区</w:t>
      </w:r>
      <w:r>
        <w:rPr>
          <w:rFonts w:ascii="仿宋" w:hAnsi="仿宋" w:eastAsia="仿宋"/>
          <w:color w:val="000000"/>
          <w:sz w:val="30"/>
          <w:szCs w:val="30"/>
        </w:rPr>
        <w:t>大气污染综合治理</w:t>
      </w:r>
      <w:r>
        <w:rPr>
          <w:rFonts w:ascii="仿宋" w:hAnsi="仿宋" w:eastAsia="仿宋"/>
          <w:bCs/>
          <w:color w:val="000000"/>
          <w:sz w:val="30"/>
          <w:szCs w:val="30"/>
        </w:rPr>
        <w:t>；鼓励园区集中供热，</w:t>
      </w:r>
      <w:r>
        <w:rPr>
          <w:rFonts w:hint="eastAsia" w:ascii="仿宋" w:hAnsi="仿宋" w:eastAsia="仿宋"/>
          <w:bCs/>
          <w:color w:val="000000"/>
          <w:sz w:val="30"/>
          <w:szCs w:val="30"/>
        </w:rPr>
        <w:t>支持</w:t>
      </w:r>
      <w:r>
        <w:rPr>
          <w:rFonts w:ascii="仿宋" w:hAnsi="仿宋" w:eastAsia="仿宋"/>
          <w:bCs/>
          <w:color w:val="000000"/>
          <w:sz w:val="30"/>
          <w:szCs w:val="30"/>
        </w:rPr>
        <w:t>发展天然气</w:t>
      </w:r>
      <w:r>
        <w:rPr>
          <w:rFonts w:hint="eastAsia" w:ascii="仿宋" w:hAnsi="仿宋" w:eastAsia="仿宋"/>
          <w:bCs/>
          <w:color w:val="000000"/>
          <w:sz w:val="30"/>
          <w:szCs w:val="30"/>
        </w:rPr>
        <w:t>分布式能源集中供热；</w:t>
      </w:r>
      <w:r>
        <w:rPr>
          <w:rFonts w:hint="eastAsia" w:ascii="仿宋" w:hAnsi="仿宋" w:eastAsia="仿宋"/>
          <w:color w:val="000000"/>
          <w:sz w:val="30"/>
          <w:szCs w:val="30"/>
        </w:rPr>
        <w:t>提高入园企业大气污染物排放的清洁生产水平，</w:t>
      </w:r>
      <w:r>
        <w:rPr>
          <w:rFonts w:ascii="仿宋" w:hAnsi="仿宋" w:eastAsia="仿宋"/>
          <w:color w:val="000000"/>
          <w:sz w:val="30"/>
          <w:szCs w:val="30"/>
        </w:rPr>
        <w:t>引进企业必须采取先进、可靠</w:t>
      </w:r>
      <w:r>
        <w:rPr>
          <w:rFonts w:hint="eastAsia" w:ascii="仿宋" w:hAnsi="仿宋" w:eastAsia="仿宋"/>
          <w:color w:val="000000"/>
          <w:sz w:val="30"/>
          <w:szCs w:val="30"/>
        </w:rPr>
        <w:t>的废气</w:t>
      </w:r>
      <w:r>
        <w:rPr>
          <w:rFonts w:ascii="仿宋" w:hAnsi="仿宋" w:eastAsia="仿宋"/>
          <w:color w:val="000000"/>
          <w:sz w:val="30"/>
          <w:szCs w:val="30"/>
        </w:rPr>
        <w:t>治理措施，确保废气排放满足《大气污染物综合排放标准》</w:t>
      </w:r>
      <w:r>
        <w:rPr>
          <w:rFonts w:ascii="仿宋" w:hAnsi="仿宋" w:eastAsia="仿宋"/>
          <w:i/>
          <w:color w:val="000000"/>
          <w:sz w:val="30"/>
          <w:szCs w:val="30"/>
        </w:rPr>
        <w:t>（GB 16297-1996）</w:t>
      </w:r>
      <w:r>
        <w:rPr>
          <w:rFonts w:ascii="仿宋" w:hAnsi="仿宋" w:eastAsia="仿宋"/>
          <w:color w:val="000000"/>
          <w:sz w:val="30"/>
          <w:szCs w:val="30"/>
        </w:rPr>
        <w:t>二级标准或相应行业标准要求。</w:t>
      </w:r>
      <w:r>
        <w:rPr>
          <w:rFonts w:hint="eastAsia" w:ascii="仿宋" w:hAnsi="仿宋" w:eastAsia="仿宋"/>
          <w:color w:val="000000"/>
          <w:sz w:val="30"/>
          <w:szCs w:val="30"/>
        </w:rPr>
        <w:t>严格按照《国家大气污染防治行动计划》、《四川省大气污染防治行动计划实施细则》的相关要求，加强园区内所涉及的生产、输送和存储过程挥发性有机污染物排放控制；推进园区有机废气污染治理，加强有机废气回收利用；新、改、扩建项目若涉及排放挥发性有机物的车间，应安装废气回收/净化装置，确保有机污染物达标排放。</w:t>
      </w:r>
      <w:r>
        <w:rPr>
          <w:rFonts w:ascii="仿宋" w:hAnsi="仿宋" w:eastAsia="仿宋"/>
          <w:color w:val="000000"/>
          <w:sz w:val="30"/>
          <w:szCs w:val="30"/>
        </w:rPr>
        <w:t>对产生废气的固定源要通过采用新技术、新工艺，淘汰落后、污染严重的设备，推行清洁生产</w:t>
      </w:r>
      <w:r>
        <w:rPr>
          <w:rFonts w:hint="eastAsia" w:ascii="仿宋" w:hAnsi="仿宋" w:eastAsia="仿宋"/>
          <w:color w:val="000000"/>
          <w:sz w:val="30"/>
          <w:szCs w:val="30"/>
        </w:rPr>
        <w:t>。加强区域大气环境质量的定期监测，密切关注区域空气质量变化情况</w:t>
      </w:r>
      <w:r>
        <w:rPr>
          <w:rFonts w:ascii="仿宋" w:hAnsi="仿宋" w:eastAsia="仿宋"/>
          <w:color w:val="000000"/>
          <w:sz w:val="30"/>
          <w:szCs w:val="30"/>
        </w:rPr>
        <w:t>。</w:t>
      </w:r>
      <w:r>
        <w:rPr>
          <w:rFonts w:hint="eastAsia" w:ascii="仿宋" w:hAnsi="仿宋" w:eastAsia="仿宋"/>
          <w:color w:val="000000"/>
          <w:sz w:val="30"/>
          <w:szCs w:val="30"/>
        </w:rPr>
        <w:t>针对神仙桥产业园化工“园中园”，</w:t>
      </w:r>
      <w:r>
        <w:rPr>
          <w:rFonts w:ascii="仿宋" w:hAnsi="仿宋" w:eastAsia="仿宋"/>
          <w:color w:val="000000"/>
          <w:sz w:val="30"/>
          <w:szCs w:val="30"/>
        </w:rPr>
        <w:t>园内企业应加强对废气尤其是有毒及恶臭气体的收集和处理，严格控制挥发性有机物（VOC）、有毒及恶臭气体的排放，配备相应的应急处置设施。</w:t>
      </w:r>
    </w:p>
    <w:p>
      <w:pPr>
        <w:adjustRightInd w:val="0"/>
        <w:snapToGrid w:val="0"/>
        <w:spacing w:line="360" w:lineRule="auto"/>
        <w:ind w:firstLine="602" w:firstLineChars="200"/>
        <w:rPr>
          <w:rFonts w:ascii="仿宋" w:hAnsi="仿宋" w:eastAsia="仿宋"/>
          <w:color w:val="000000"/>
          <w:sz w:val="30"/>
          <w:szCs w:val="30"/>
        </w:rPr>
      </w:pPr>
      <w:r>
        <w:rPr>
          <w:rFonts w:hint="eastAsia" w:ascii="仿宋" w:hAnsi="仿宋" w:eastAsia="仿宋"/>
          <w:b/>
          <w:bCs/>
          <w:sz w:val="30"/>
          <w:szCs w:val="30"/>
        </w:rPr>
        <w:t>固废污染防治。</w:t>
      </w:r>
      <w:r>
        <w:rPr>
          <w:rFonts w:ascii="仿宋" w:hAnsi="仿宋" w:eastAsia="仿宋"/>
          <w:color w:val="000000"/>
          <w:sz w:val="30"/>
          <w:szCs w:val="30"/>
        </w:rPr>
        <w:t>科学客观分析</w:t>
      </w:r>
      <w:r>
        <w:rPr>
          <w:rFonts w:hint="eastAsia" w:ascii="仿宋" w:hAnsi="仿宋" w:eastAsia="仿宋"/>
          <w:color w:val="000000"/>
          <w:sz w:val="30"/>
          <w:szCs w:val="30"/>
        </w:rPr>
        <w:t>园区</w:t>
      </w:r>
      <w:r>
        <w:rPr>
          <w:rFonts w:ascii="仿宋" w:hAnsi="仿宋" w:eastAsia="仿宋"/>
          <w:color w:val="000000"/>
          <w:sz w:val="30"/>
          <w:szCs w:val="30"/>
        </w:rPr>
        <w:t>固体废物处理处置现状和存在的问题，合理选择利用途径和处理方法</w:t>
      </w:r>
      <w:r>
        <w:rPr>
          <w:rFonts w:hint="eastAsia" w:ascii="仿宋" w:hAnsi="仿宋" w:eastAsia="仿宋"/>
          <w:color w:val="000000"/>
          <w:sz w:val="30"/>
          <w:szCs w:val="30"/>
        </w:rPr>
        <w:t>，</w:t>
      </w:r>
      <w:r>
        <w:rPr>
          <w:rFonts w:ascii="仿宋" w:hAnsi="仿宋" w:eastAsia="仿宋"/>
          <w:color w:val="000000"/>
          <w:sz w:val="30"/>
          <w:szCs w:val="30"/>
        </w:rPr>
        <w:t>更新工艺、提高原料利用效率、推广清洁能源使用，减少固体废物产生。</w:t>
      </w:r>
      <w:r>
        <w:rPr>
          <w:rFonts w:hint="eastAsia" w:ascii="仿宋" w:hAnsi="仿宋" w:eastAsia="仿宋"/>
          <w:b/>
          <w:color w:val="000000"/>
          <w:sz w:val="30"/>
          <w:szCs w:val="30"/>
        </w:rPr>
        <w:t>①针对</w:t>
      </w:r>
      <w:r>
        <w:rPr>
          <w:rFonts w:ascii="仿宋" w:hAnsi="仿宋" w:eastAsia="仿宋"/>
          <w:b/>
          <w:color w:val="000000"/>
          <w:sz w:val="30"/>
          <w:szCs w:val="30"/>
        </w:rPr>
        <w:t>一般工业固废：</w:t>
      </w:r>
      <w:r>
        <w:rPr>
          <w:rFonts w:ascii="仿宋" w:hAnsi="仿宋" w:eastAsia="仿宋"/>
          <w:color w:val="000000"/>
          <w:sz w:val="30"/>
          <w:szCs w:val="30"/>
        </w:rPr>
        <w:t>入园企业应本着</w:t>
      </w:r>
      <w:r>
        <w:rPr>
          <w:rFonts w:hint="eastAsia" w:ascii="仿宋" w:hAnsi="仿宋" w:eastAsia="仿宋"/>
          <w:color w:val="000000"/>
          <w:sz w:val="30"/>
          <w:szCs w:val="30"/>
        </w:rPr>
        <w:t>“</w:t>
      </w:r>
      <w:r>
        <w:rPr>
          <w:rFonts w:ascii="仿宋" w:hAnsi="仿宋" w:eastAsia="仿宋"/>
          <w:color w:val="000000"/>
          <w:sz w:val="30"/>
          <w:szCs w:val="30"/>
        </w:rPr>
        <w:t>三化</w:t>
      </w:r>
      <w:r>
        <w:rPr>
          <w:rFonts w:hint="eastAsia" w:ascii="仿宋" w:hAnsi="仿宋" w:eastAsia="仿宋"/>
          <w:color w:val="000000"/>
          <w:sz w:val="30"/>
          <w:szCs w:val="30"/>
        </w:rPr>
        <w:t>”</w:t>
      </w:r>
      <w:r>
        <w:rPr>
          <w:rFonts w:ascii="仿宋" w:hAnsi="仿宋" w:eastAsia="仿宋"/>
          <w:color w:val="000000"/>
          <w:sz w:val="30"/>
          <w:szCs w:val="30"/>
        </w:rPr>
        <w:t>的原则，采用清洁的生产工艺，从产品的源头及生产过程中控制固废的产生量，加强固废的资源化综合利用</w:t>
      </w:r>
      <w:r>
        <w:rPr>
          <w:rFonts w:hint="eastAsia" w:ascii="仿宋" w:hAnsi="仿宋" w:eastAsia="仿宋"/>
          <w:color w:val="000000"/>
          <w:sz w:val="30"/>
          <w:szCs w:val="30"/>
        </w:rPr>
        <w:t>，避免二次污染。</w:t>
      </w:r>
      <w:r>
        <w:rPr>
          <w:rFonts w:hint="eastAsia" w:ascii="仿宋" w:hAnsi="仿宋" w:eastAsia="仿宋"/>
          <w:b/>
          <w:color w:val="000000"/>
          <w:sz w:val="30"/>
          <w:szCs w:val="30"/>
        </w:rPr>
        <w:t>②针对</w:t>
      </w:r>
      <w:r>
        <w:rPr>
          <w:rFonts w:ascii="仿宋" w:hAnsi="仿宋" w:eastAsia="仿宋"/>
          <w:b/>
          <w:color w:val="000000"/>
          <w:sz w:val="30"/>
          <w:szCs w:val="30"/>
        </w:rPr>
        <w:t>危险废物：</w:t>
      </w:r>
      <w:r>
        <w:rPr>
          <w:rFonts w:ascii="仿宋" w:hAnsi="仿宋" w:eastAsia="仿宋"/>
          <w:color w:val="000000"/>
          <w:sz w:val="30"/>
          <w:szCs w:val="30"/>
        </w:rPr>
        <w:t>本着</w:t>
      </w:r>
      <w:r>
        <w:rPr>
          <w:rFonts w:hint="eastAsia" w:ascii="仿宋" w:hAnsi="仿宋" w:eastAsia="仿宋"/>
          <w:color w:val="000000"/>
          <w:sz w:val="30"/>
          <w:szCs w:val="30"/>
        </w:rPr>
        <w:t>“</w:t>
      </w:r>
      <w:r>
        <w:rPr>
          <w:rFonts w:ascii="仿宋" w:hAnsi="仿宋" w:eastAsia="仿宋"/>
          <w:color w:val="000000"/>
          <w:sz w:val="30"/>
          <w:szCs w:val="30"/>
        </w:rPr>
        <w:t>谁污染，谁治理</w:t>
      </w:r>
      <w:r>
        <w:rPr>
          <w:rFonts w:hint="eastAsia" w:ascii="仿宋" w:hAnsi="仿宋" w:eastAsia="仿宋"/>
          <w:color w:val="000000"/>
          <w:sz w:val="30"/>
          <w:szCs w:val="30"/>
        </w:rPr>
        <w:t>”</w:t>
      </w:r>
      <w:r>
        <w:rPr>
          <w:rFonts w:ascii="仿宋" w:hAnsi="仿宋" w:eastAsia="仿宋"/>
          <w:color w:val="000000"/>
          <w:sz w:val="30"/>
          <w:szCs w:val="30"/>
        </w:rPr>
        <w:t>的原则，全过程控制管理，禁止污染转嫁</w:t>
      </w:r>
      <w:r>
        <w:rPr>
          <w:rFonts w:hint="eastAsia" w:ascii="仿宋" w:hAnsi="仿宋" w:eastAsia="仿宋"/>
          <w:color w:val="000000"/>
          <w:sz w:val="30"/>
          <w:szCs w:val="30"/>
        </w:rPr>
        <w:t>。危险废物</w:t>
      </w:r>
      <w:r>
        <w:rPr>
          <w:rFonts w:ascii="仿宋" w:hAnsi="仿宋" w:eastAsia="仿宋"/>
          <w:color w:val="000000"/>
          <w:sz w:val="30"/>
          <w:szCs w:val="30"/>
        </w:rPr>
        <w:t>由企业按照国家有关规定进行安全处置，或送有资格的处置单位进行集中处置，严禁随意倾倒或混入生活垃圾和一般固废中。</w:t>
      </w:r>
      <w:r>
        <w:rPr>
          <w:rFonts w:hint="eastAsia" w:ascii="仿宋" w:hAnsi="仿宋" w:eastAsia="仿宋"/>
          <w:color w:val="000000"/>
          <w:sz w:val="30"/>
          <w:szCs w:val="30"/>
        </w:rPr>
        <w:t>对神仙桥产业园化工“园中园”，危险废物厂内暂存应设置专门的暂存间，</w:t>
      </w:r>
      <w:r>
        <w:rPr>
          <w:rFonts w:hint="eastAsia" w:ascii="仿宋" w:hAnsi="仿宋" w:eastAsia="仿宋"/>
          <w:color w:val="000000"/>
          <w:spacing w:val="-2"/>
          <w:sz w:val="30"/>
          <w:szCs w:val="30"/>
        </w:rPr>
        <w:t>针对危险废物的特性、数量，按照《危险废物贮存污染控制标准》</w:t>
      </w:r>
      <w:r>
        <w:rPr>
          <w:rFonts w:hint="eastAsia" w:ascii="仿宋" w:hAnsi="仿宋" w:eastAsia="仿宋"/>
          <w:i/>
          <w:color w:val="000000"/>
          <w:spacing w:val="-2"/>
          <w:sz w:val="30"/>
          <w:szCs w:val="30"/>
        </w:rPr>
        <w:t>（GBl8597-2001）</w:t>
      </w:r>
      <w:r>
        <w:rPr>
          <w:rFonts w:hint="eastAsia" w:ascii="仿宋" w:hAnsi="仿宋" w:eastAsia="仿宋"/>
          <w:color w:val="000000"/>
          <w:spacing w:val="-2"/>
          <w:sz w:val="30"/>
          <w:szCs w:val="30"/>
        </w:rPr>
        <w:t>、《</w:t>
      </w:r>
      <w:r>
        <w:rPr>
          <w:rFonts w:hint="eastAsia" w:ascii="仿宋" w:hAnsi="仿宋" w:eastAsia="仿宋"/>
          <w:color w:val="000000"/>
          <w:sz w:val="30"/>
          <w:szCs w:val="30"/>
        </w:rPr>
        <w:t>危险废物收集、贮存、运输技术规范</w:t>
      </w:r>
      <w:r>
        <w:rPr>
          <w:rFonts w:hint="eastAsia" w:ascii="仿宋" w:hAnsi="仿宋" w:eastAsia="仿宋"/>
          <w:color w:val="000000"/>
          <w:spacing w:val="-2"/>
          <w:sz w:val="30"/>
          <w:szCs w:val="30"/>
        </w:rPr>
        <w:t>》</w:t>
      </w:r>
      <w:r>
        <w:rPr>
          <w:rFonts w:hint="eastAsia" w:ascii="仿宋" w:hAnsi="仿宋" w:eastAsia="仿宋"/>
          <w:i/>
          <w:color w:val="000000"/>
          <w:spacing w:val="-2"/>
          <w:sz w:val="30"/>
          <w:szCs w:val="30"/>
        </w:rPr>
        <w:t>（HJ2025-2012）</w:t>
      </w:r>
      <w:r>
        <w:rPr>
          <w:rFonts w:hint="eastAsia" w:ascii="仿宋" w:hAnsi="仿宋" w:eastAsia="仿宋"/>
          <w:color w:val="000000"/>
          <w:spacing w:val="-2"/>
          <w:sz w:val="30"/>
          <w:szCs w:val="30"/>
        </w:rPr>
        <w:t>、《危险化学品安全管理条例》中相关要求，做好危险废物的收集、运输和贮存风险事故防范。</w:t>
      </w:r>
      <w:r>
        <w:rPr>
          <w:rFonts w:hint="eastAsia" w:ascii="仿宋" w:hAnsi="仿宋" w:eastAsia="仿宋"/>
          <w:b/>
          <w:color w:val="000000"/>
          <w:sz w:val="30"/>
          <w:szCs w:val="30"/>
        </w:rPr>
        <w:t>③针对</w:t>
      </w:r>
      <w:r>
        <w:rPr>
          <w:rFonts w:ascii="仿宋" w:hAnsi="仿宋" w:eastAsia="仿宋"/>
          <w:b/>
          <w:color w:val="000000"/>
          <w:sz w:val="30"/>
          <w:szCs w:val="30"/>
        </w:rPr>
        <w:t>生活垃圾：</w:t>
      </w:r>
      <w:r>
        <w:rPr>
          <w:rFonts w:ascii="仿宋" w:hAnsi="仿宋" w:eastAsia="仿宋"/>
          <w:color w:val="000000"/>
          <w:sz w:val="30"/>
          <w:szCs w:val="30"/>
        </w:rPr>
        <w:t>采用</w:t>
      </w:r>
      <w:r>
        <w:rPr>
          <w:rFonts w:hint="eastAsia" w:ascii="仿宋" w:hAnsi="仿宋" w:eastAsia="仿宋"/>
          <w:color w:val="000000"/>
          <w:sz w:val="30"/>
          <w:szCs w:val="30"/>
        </w:rPr>
        <w:t>“</w:t>
      </w:r>
      <w:r>
        <w:rPr>
          <w:rFonts w:ascii="仿宋" w:hAnsi="仿宋" w:eastAsia="仿宋"/>
          <w:color w:val="000000"/>
          <w:sz w:val="30"/>
          <w:szCs w:val="30"/>
        </w:rPr>
        <w:t>生活垃圾站-大车-城市垃圾处理厂</w:t>
      </w:r>
      <w:r>
        <w:rPr>
          <w:rFonts w:hint="eastAsia" w:ascii="仿宋" w:hAnsi="仿宋" w:eastAsia="仿宋"/>
          <w:color w:val="000000"/>
          <w:sz w:val="30"/>
          <w:szCs w:val="30"/>
        </w:rPr>
        <w:t>”</w:t>
      </w:r>
      <w:r>
        <w:rPr>
          <w:rFonts w:ascii="仿宋" w:hAnsi="仿宋" w:eastAsia="仿宋"/>
          <w:color w:val="000000"/>
          <w:sz w:val="30"/>
          <w:szCs w:val="30"/>
        </w:rPr>
        <w:t>的收集方式，由园区市政环卫部门统一运至泸州</w:t>
      </w:r>
      <w:r>
        <w:rPr>
          <w:rFonts w:hint="eastAsia" w:ascii="仿宋" w:hAnsi="仿宋" w:eastAsia="仿宋"/>
          <w:color w:val="000000"/>
          <w:sz w:val="30"/>
          <w:szCs w:val="30"/>
        </w:rPr>
        <w:t>市</w:t>
      </w:r>
      <w:r>
        <w:rPr>
          <w:rFonts w:ascii="仿宋" w:hAnsi="仿宋" w:eastAsia="仿宋"/>
          <w:color w:val="000000"/>
          <w:sz w:val="30"/>
          <w:szCs w:val="30"/>
        </w:rPr>
        <w:t>城市垃圾处理厂集中处置。</w:t>
      </w:r>
    </w:p>
    <w:p>
      <w:pPr>
        <w:adjustRightInd w:val="0"/>
        <w:snapToGrid w:val="0"/>
        <w:spacing w:line="360" w:lineRule="auto"/>
        <w:ind w:firstLine="602" w:firstLineChars="200"/>
        <w:rPr>
          <w:rFonts w:ascii="仿宋" w:hAnsi="仿宋" w:eastAsia="仿宋"/>
          <w:bCs/>
          <w:sz w:val="30"/>
          <w:szCs w:val="30"/>
        </w:rPr>
      </w:pPr>
      <w:r>
        <w:rPr>
          <w:rFonts w:hint="eastAsia" w:ascii="仿宋" w:hAnsi="仿宋" w:eastAsia="仿宋"/>
          <w:b/>
          <w:bCs/>
          <w:sz w:val="30"/>
          <w:szCs w:val="30"/>
        </w:rPr>
        <w:t>噪音污染防治。</w:t>
      </w:r>
      <w:r>
        <w:rPr>
          <w:rFonts w:hint="eastAsia" w:ascii="仿宋" w:hAnsi="仿宋" w:eastAsia="仿宋"/>
          <w:bCs/>
          <w:sz w:val="30"/>
          <w:szCs w:val="30"/>
        </w:rPr>
        <w:t>园区企业应大力</w:t>
      </w:r>
      <w:r>
        <w:rPr>
          <w:rFonts w:ascii="仿宋" w:hAnsi="仿宋" w:eastAsia="仿宋"/>
          <w:bCs/>
          <w:sz w:val="30"/>
          <w:szCs w:val="30"/>
        </w:rPr>
        <w:t>改进工艺，</w:t>
      </w:r>
      <w:r>
        <w:rPr>
          <w:rFonts w:hint="eastAsia" w:ascii="仿宋" w:hAnsi="仿宋" w:eastAsia="仿宋"/>
          <w:bCs/>
          <w:sz w:val="30"/>
          <w:szCs w:val="30"/>
        </w:rPr>
        <w:t>尽量选用低噪声设备，通过</w:t>
      </w:r>
      <w:r>
        <w:rPr>
          <w:rFonts w:ascii="仿宋" w:hAnsi="仿宋" w:eastAsia="仿宋"/>
          <w:bCs/>
          <w:sz w:val="30"/>
          <w:szCs w:val="30"/>
        </w:rPr>
        <w:t>隔声、吸声和消声等措施</w:t>
      </w:r>
      <w:r>
        <w:rPr>
          <w:rFonts w:hint="eastAsia" w:ascii="仿宋" w:hAnsi="仿宋" w:eastAsia="仿宋"/>
          <w:bCs/>
          <w:sz w:val="30"/>
          <w:szCs w:val="30"/>
        </w:rPr>
        <w:t>，</w:t>
      </w:r>
      <w:r>
        <w:rPr>
          <w:rFonts w:ascii="仿宋" w:hAnsi="仿宋" w:eastAsia="仿宋"/>
          <w:bCs/>
          <w:sz w:val="30"/>
          <w:szCs w:val="30"/>
        </w:rPr>
        <w:t>加强</w:t>
      </w:r>
      <w:r>
        <w:rPr>
          <w:rFonts w:hint="eastAsia" w:ascii="仿宋" w:hAnsi="仿宋" w:eastAsia="仿宋"/>
          <w:bCs/>
          <w:sz w:val="30"/>
          <w:szCs w:val="30"/>
        </w:rPr>
        <w:t>对各种</w:t>
      </w:r>
      <w:r>
        <w:rPr>
          <w:rFonts w:ascii="仿宋" w:hAnsi="仿宋" w:eastAsia="仿宋"/>
          <w:bCs/>
          <w:sz w:val="30"/>
          <w:szCs w:val="30"/>
        </w:rPr>
        <w:t>工业噪声污染</w:t>
      </w:r>
      <w:r>
        <w:rPr>
          <w:rFonts w:hint="eastAsia" w:ascii="仿宋" w:hAnsi="仿宋" w:eastAsia="仿宋"/>
          <w:bCs/>
          <w:sz w:val="30"/>
          <w:szCs w:val="30"/>
        </w:rPr>
        <w:t>的</w:t>
      </w:r>
      <w:r>
        <w:rPr>
          <w:rFonts w:ascii="仿宋" w:hAnsi="仿宋" w:eastAsia="仿宋"/>
          <w:bCs/>
          <w:sz w:val="30"/>
          <w:szCs w:val="30"/>
        </w:rPr>
        <w:t>控制</w:t>
      </w:r>
      <w:r>
        <w:rPr>
          <w:rFonts w:hint="eastAsia" w:ascii="仿宋" w:hAnsi="仿宋" w:eastAsia="仿宋"/>
          <w:bCs/>
          <w:sz w:val="30"/>
          <w:szCs w:val="30"/>
        </w:rPr>
        <w:t>。科学组织园区路网系统，提升道路质量等级，加强车辆和人流管理，缓解车辆疏散问题，降低道路的车辆密度，综合防治交通噪声。加强公共娱乐场所、商业集中地区及居民区的商业设施的噪声管理，实行商业噪声管理的规范化和标准化。严格施工场地的噪声管理。</w:t>
      </w:r>
      <w:r>
        <w:rPr>
          <w:rFonts w:ascii="仿宋" w:hAnsi="仿宋" w:eastAsia="仿宋"/>
          <w:bCs/>
          <w:sz w:val="30"/>
          <w:szCs w:val="30"/>
        </w:rPr>
        <w:br w:type="page"/>
      </w:r>
    </w:p>
    <w:p>
      <w:pPr>
        <w:pStyle w:val="2"/>
        <w:adjustRightInd w:val="0"/>
        <w:snapToGrid w:val="0"/>
        <w:spacing w:beforeLines="50" w:afterLines="50" w:line="360" w:lineRule="auto"/>
        <w:jc w:val="center"/>
        <w:rPr>
          <w:rFonts w:ascii="黑体" w:hAnsi="黑体" w:eastAsia="黑体"/>
          <w:bCs w:val="0"/>
          <w:kern w:val="2"/>
        </w:rPr>
      </w:pPr>
      <w:bookmarkStart w:id="57" w:name="_Toc66118525"/>
      <w:bookmarkStart w:id="58" w:name="_Toc91676449"/>
      <w:r>
        <w:rPr>
          <w:rFonts w:hint="eastAsia" w:ascii="黑体" w:hAnsi="黑体" w:eastAsia="黑体"/>
          <w:bCs w:val="0"/>
          <w:kern w:val="2"/>
        </w:rPr>
        <w:t>第六章  保障措施</w:t>
      </w:r>
      <w:bookmarkEnd w:id="57"/>
      <w:bookmarkEnd w:id="58"/>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59" w:name="_Toc91676450"/>
      <w:bookmarkStart w:id="60" w:name="_Toc64378653"/>
      <w:bookmarkStart w:id="61" w:name="_Toc66118526"/>
      <w:r>
        <w:rPr>
          <w:rFonts w:hint="eastAsia" w:ascii="黑体" w:hAnsi="黑体" w:eastAsia="黑体" w:cs="Times New Roman"/>
          <w:bCs w:val="0"/>
          <w:color w:val="000000"/>
        </w:rPr>
        <w:t>第一节  建立统筹协调机制</w:t>
      </w:r>
      <w:bookmarkEnd w:id="59"/>
      <w:bookmarkEnd w:id="60"/>
      <w:bookmarkEnd w:id="61"/>
    </w:p>
    <w:p>
      <w:pPr>
        <w:shd w:val="clear" w:color="auto" w:fill="FFFFFF"/>
        <w:adjustRightInd w:val="0"/>
        <w:snapToGrid w:val="0"/>
        <w:spacing w:line="360" w:lineRule="auto"/>
        <w:ind w:firstLine="600" w:firstLineChars="200"/>
        <w:rPr>
          <w:rFonts w:ascii="仿宋" w:hAnsi="仿宋" w:eastAsia="仿宋"/>
          <w:sz w:val="30"/>
          <w:szCs w:val="30"/>
        </w:rPr>
      </w:pPr>
      <w:r>
        <w:rPr>
          <w:rFonts w:hint="eastAsia" w:ascii="仿宋" w:hAnsi="仿宋" w:eastAsia="仿宋"/>
          <w:bCs/>
          <w:sz w:val="30"/>
          <w:szCs w:val="30"/>
        </w:rPr>
        <w:t>在县委、县人民政府的领导下，强化开发区党工委、管委会的指导、统筹、协调和服务功能。</w:t>
      </w:r>
      <w:r>
        <w:rPr>
          <w:rFonts w:hint="eastAsia" w:ascii="仿宋" w:hAnsi="仿宋" w:eastAsia="仿宋"/>
          <w:sz w:val="30"/>
          <w:szCs w:val="30"/>
        </w:rPr>
        <w:t>加强组织领导和战略谋划，成立由县级分管领导为组长、相关职能部门和园区所在镇（街道）主要领导为成员的经济开发区工作领导小组。领导小组主要履行统筹开发区建设与发展职能，定期研究决定开发区发展的重大事项，负责督促开发区规划的落实并进行审核，协调与开发区发展有关的各职能部门工作，促进各领域和各部门的政策协同，实施工业发展高质量发展特色行动，提升干部队伍专业化水平。</w:t>
      </w:r>
      <w:r>
        <w:rPr>
          <w:rFonts w:eastAsia="仿宋"/>
          <w:sz w:val="30"/>
          <w:szCs w:val="30"/>
        </w:rPr>
        <w:t>注重发挥</w:t>
      </w:r>
      <w:r>
        <w:rPr>
          <w:rFonts w:hint="eastAsia" w:ascii="仿宋" w:hAnsi="仿宋" w:eastAsia="仿宋"/>
          <w:bCs/>
          <w:sz w:val="30"/>
          <w:szCs w:val="30"/>
        </w:rPr>
        <w:t>泸县经济发展投资开发有限公司、</w:t>
      </w:r>
      <w:r>
        <w:rPr>
          <w:rFonts w:eastAsia="仿宋"/>
          <w:sz w:val="30"/>
          <w:szCs w:val="30"/>
        </w:rPr>
        <w:t>专业协会、产业联盟等</w:t>
      </w:r>
      <w:r>
        <w:rPr>
          <w:rFonts w:hint="eastAsia" w:eastAsia="仿宋"/>
          <w:sz w:val="30"/>
          <w:szCs w:val="30"/>
        </w:rPr>
        <w:t>的平台</w:t>
      </w:r>
      <w:r>
        <w:rPr>
          <w:rFonts w:eastAsia="仿宋"/>
          <w:sz w:val="30"/>
          <w:szCs w:val="30"/>
        </w:rPr>
        <w:t>作用，激发市场主体活力和社会创造力。</w:t>
      </w:r>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62" w:name="_Toc91676451"/>
      <w:bookmarkStart w:id="63" w:name="_Toc66118527"/>
      <w:bookmarkStart w:id="64" w:name="_Toc64378654"/>
      <w:r>
        <w:rPr>
          <w:rFonts w:hint="eastAsia" w:ascii="黑体" w:hAnsi="黑体" w:eastAsia="黑体" w:cs="Times New Roman"/>
          <w:bCs w:val="0"/>
          <w:color w:val="000000"/>
        </w:rPr>
        <w:t>第二节  营造良好发展环境</w:t>
      </w:r>
      <w:bookmarkEnd w:id="62"/>
      <w:bookmarkEnd w:id="63"/>
      <w:bookmarkEnd w:id="64"/>
    </w:p>
    <w:p>
      <w:pPr>
        <w:adjustRightInd w:val="0"/>
        <w:snapToGrid w:val="0"/>
        <w:spacing w:line="360" w:lineRule="auto"/>
        <w:ind w:firstLine="600" w:firstLineChars="200"/>
        <w:rPr>
          <w:rFonts w:ascii="仿宋" w:hAnsi="仿宋" w:eastAsia="仿宋"/>
          <w:bCs/>
          <w:sz w:val="30"/>
          <w:szCs w:val="30"/>
        </w:rPr>
      </w:pPr>
      <w:r>
        <w:rPr>
          <w:rFonts w:hint="eastAsia" w:ascii="仿宋" w:hAnsi="仿宋" w:eastAsia="仿宋"/>
          <w:bCs/>
          <w:sz w:val="30"/>
          <w:szCs w:val="30"/>
        </w:rPr>
        <w:t>营造透明高效的政务环境，深化“放管服”改革，简化审批手续和流程，推行“一站式”和“保姆式”全方位精准化服务模式，</w:t>
      </w:r>
      <w:r>
        <w:rPr>
          <w:rFonts w:hint="eastAsia" w:eastAsia="仿宋"/>
          <w:sz w:val="30"/>
          <w:szCs w:val="30"/>
        </w:rPr>
        <w:t>建立重大落地项目全周期全流程服务机制，</w:t>
      </w:r>
      <w:r>
        <w:rPr>
          <w:rFonts w:ascii="仿宋" w:hAnsi="仿宋" w:eastAsia="仿宋"/>
          <w:bCs/>
          <w:sz w:val="30"/>
          <w:szCs w:val="30"/>
        </w:rPr>
        <w:t>及时帮助企业解决</w:t>
      </w:r>
      <w:r>
        <w:rPr>
          <w:rFonts w:hint="eastAsia" w:ascii="仿宋" w:hAnsi="仿宋" w:eastAsia="仿宋"/>
          <w:bCs/>
          <w:sz w:val="30"/>
          <w:szCs w:val="30"/>
        </w:rPr>
        <w:t>发展</w:t>
      </w:r>
      <w:r>
        <w:rPr>
          <w:rFonts w:ascii="仿宋" w:hAnsi="仿宋" w:eastAsia="仿宋"/>
          <w:bCs/>
          <w:sz w:val="30"/>
          <w:szCs w:val="30"/>
        </w:rPr>
        <w:t>中</w:t>
      </w:r>
      <w:r>
        <w:rPr>
          <w:rFonts w:hint="eastAsia" w:ascii="仿宋" w:hAnsi="仿宋" w:eastAsia="仿宋"/>
          <w:bCs/>
          <w:sz w:val="30"/>
          <w:szCs w:val="30"/>
        </w:rPr>
        <w:t>存在</w:t>
      </w:r>
      <w:r>
        <w:rPr>
          <w:rFonts w:ascii="仿宋" w:hAnsi="仿宋" w:eastAsia="仿宋"/>
          <w:bCs/>
          <w:sz w:val="30"/>
          <w:szCs w:val="30"/>
        </w:rPr>
        <w:t>的困难和问题</w:t>
      </w:r>
      <w:r>
        <w:rPr>
          <w:rFonts w:hint="eastAsia" w:ascii="仿宋" w:hAnsi="仿宋" w:eastAsia="仿宋"/>
          <w:bCs/>
          <w:sz w:val="30"/>
          <w:szCs w:val="30"/>
        </w:rPr>
        <w:t>。</w:t>
      </w:r>
      <w:r>
        <w:rPr>
          <w:rFonts w:hint="eastAsia" w:eastAsia="仿宋"/>
          <w:sz w:val="30"/>
          <w:szCs w:val="30"/>
        </w:rPr>
        <w:t>建立涉企收费审核制度，深入推进降本减负，加强违规收费治理，推动中介服务减费增效。健全企业家参与涉企政策制定制度，在政策制定和执行过程中充分考虑行业及企业实际，共同营造安商亲商兴商氛围。</w:t>
      </w:r>
      <w:r>
        <w:rPr>
          <w:rFonts w:hint="eastAsia" w:ascii="仿宋" w:hAnsi="仿宋" w:eastAsia="仿宋"/>
          <w:bCs/>
          <w:sz w:val="30"/>
          <w:szCs w:val="30"/>
        </w:rPr>
        <w:t>复制推广中国（四川）自由贸易试验区川南临港片区经验，积极推进投资便利化，加强事中事后监管，促进产业转型升级和创新发展。</w:t>
      </w:r>
      <w:r>
        <w:rPr>
          <w:rFonts w:hint="eastAsia" w:eastAsia="仿宋"/>
          <w:sz w:val="30"/>
          <w:szCs w:val="30"/>
        </w:rPr>
        <w:t>实施最严格的知识产权保护制度，加大对企业知识产权维权援助力度。规范涉企执法行为，</w:t>
      </w:r>
      <w:r>
        <w:rPr>
          <w:rFonts w:hint="eastAsia" w:ascii="仿宋" w:hAnsi="仿宋" w:eastAsia="仿宋"/>
          <w:bCs/>
          <w:sz w:val="30"/>
          <w:szCs w:val="30"/>
        </w:rPr>
        <w:t>完善法律援助制度，健全司法救助体系，</w:t>
      </w:r>
      <w:r>
        <w:rPr>
          <w:rFonts w:hint="eastAsia" w:eastAsia="仿宋"/>
          <w:sz w:val="30"/>
          <w:szCs w:val="30"/>
        </w:rPr>
        <w:t>加强涉企案件跨区域协作，</w:t>
      </w:r>
      <w:r>
        <w:rPr>
          <w:rFonts w:hint="eastAsia" w:ascii="仿宋" w:hAnsi="仿宋" w:eastAsia="仿宋"/>
          <w:bCs/>
          <w:sz w:val="30"/>
          <w:szCs w:val="30"/>
        </w:rPr>
        <w:t>切实保障企业和市场主体的合法权益。打造国际化的商务和人居环境，增强外来投资商的归属感和认同感，吸引更多海内外高层次人才来开发区投资创业。</w:t>
      </w:r>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65" w:name="_Toc66118528"/>
      <w:bookmarkStart w:id="66" w:name="_Toc91676452"/>
      <w:bookmarkStart w:id="67" w:name="_Toc64378655"/>
      <w:r>
        <w:rPr>
          <w:rFonts w:hint="eastAsia" w:ascii="黑体" w:hAnsi="黑体" w:eastAsia="黑体" w:cs="Times New Roman"/>
          <w:bCs w:val="0"/>
          <w:color w:val="000000"/>
        </w:rPr>
        <w:t>第三节  加大财政金融支持</w:t>
      </w:r>
      <w:bookmarkEnd w:id="65"/>
      <w:bookmarkEnd w:id="66"/>
      <w:bookmarkEnd w:id="67"/>
    </w:p>
    <w:p>
      <w:pPr>
        <w:shd w:val="clear" w:color="auto" w:fill="FFFFFF"/>
        <w:adjustRightInd w:val="0"/>
        <w:snapToGrid w:val="0"/>
        <w:spacing w:line="360" w:lineRule="auto"/>
        <w:ind w:firstLine="600" w:firstLineChars="200"/>
        <w:rPr>
          <w:rFonts w:ascii="仿宋" w:hAnsi="仿宋" w:eastAsia="仿宋"/>
          <w:bCs/>
          <w:sz w:val="30"/>
          <w:szCs w:val="30"/>
        </w:rPr>
      </w:pPr>
      <w:r>
        <w:rPr>
          <w:rFonts w:hint="eastAsia" w:ascii="仿宋" w:hAnsi="仿宋" w:eastAsia="仿宋"/>
          <w:bCs/>
          <w:sz w:val="30"/>
          <w:szCs w:val="30"/>
        </w:rPr>
        <w:t>建立工业类重点企业名录和重大技术改造项目库，持续加大各级各类财政专项资金对重点企业、重点项目、技改项目和相关平台的支持力度。增加工业项目中长期贷款、技改贷款和信用贷款，探索知识产权质押融资。鼓励金融机构创新优化服务，为工业企业提供优惠利率贷款。强化中小企业基础性工作，完善金融综合服务平台，健全政策性融资担保和增信支持体系。通过贴息、补助等方式，扶持企业运用高新技术和先进适用技术实现改造提升。设立白酒产业和多资源产业发展基金，鼓励更多社会资本投向工业项目，以市场化的方式对园区优质企业和项目进行支持。探索发展科技金融，</w:t>
      </w:r>
      <w:r>
        <w:rPr>
          <w:rFonts w:ascii="仿宋" w:hAnsi="仿宋" w:eastAsia="仿宋"/>
          <w:bCs/>
          <w:sz w:val="30"/>
          <w:szCs w:val="30"/>
        </w:rPr>
        <w:t>引导和促进银行业、证券业、保险业金融机构及创业投资等各类资本，创新金融产品，改进服务模式，搭建服务平台，为科技</w:t>
      </w:r>
      <w:r>
        <w:rPr>
          <w:rFonts w:hint="eastAsia" w:ascii="仿宋" w:hAnsi="仿宋" w:eastAsia="仿宋"/>
          <w:bCs/>
          <w:sz w:val="30"/>
          <w:szCs w:val="30"/>
        </w:rPr>
        <w:t>型</w:t>
      </w:r>
      <w:r>
        <w:rPr>
          <w:rFonts w:ascii="仿宋" w:hAnsi="仿宋" w:eastAsia="仿宋"/>
          <w:bCs/>
          <w:sz w:val="30"/>
          <w:szCs w:val="30"/>
        </w:rPr>
        <w:t>企业提供融资支持和金融服务</w:t>
      </w:r>
      <w:r>
        <w:rPr>
          <w:rFonts w:hint="eastAsia" w:ascii="仿宋" w:hAnsi="仿宋" w:eastAsia="仿宋"/>
          <w:bCs/>
          <w:sz w:val="30"/>
          <w:szCs w:val="30"/>
        </w:rPr>
        <w:t>。指导和帮助企业通过在区域性股权市场发行可转换债等直接融资方式，扩充企业融资途径和规模。加大帮扶企业合规经营力度，落实企业上市、股改等方面支持政策，</w:t>
      </w:r>
      <w:r>
        <w:rPr>
          <w:rFonts w:ascii="仿宋" w:hAnsi="仿宋" w:eastAsia="仿宋"/>
          <w:bCs/>
          <w:sz w:val="30"/>
          <w:szCs w:val="30"/>
        </w:rPr>
        <w:t>制定上市培育发展计划。</w:t>
      </w:r>
      <w:r>
        <w:rPr>
          <w:rFonts w:hint="eastAsia" w:ascii="仿宋" w:hAnsi="仿宋" w:eastAsia="仿宋"/>
          <w:bCs/>
          <w:sz w:val="30"/>
          <w:szCs w:val="30"/>
        </w:rPr>
        <w:t>持续做大“龙城兴园贷”风险基金规模，及时解决企业“融资难、融资贵”问题。</w:t>
      </w:r>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68" w:name="_Toc64378656"/>
      <w:bookmarkStart w:id="69" w:name="_Toc66118529"/>
      <w:bookmarkStart w:id="70" w:name="_Toc91676453"/>
      <w:r>
        <w:rPr>
          <w:rFonts w:hint="eastAsia" w:ascii="黑体" w:hAnsi="黑体" w:eastAsia="黑体" w:cs="Times New Roman"/>
          <w:bCs w:val="0"/>
          <w:color w:val="000000"/>
        </w:rPr>
        <w:t>第四节  破解生产要素瓶颈</w:t>
      </w:r>
      <w:bookmarkEnd w:id="68"/>
      <w:bookmarkEnd w:id="69"/>
      <w:bookmarkEnd w:id="70"/>
    </w:p>
    <w:p>
      <w:pPr>
        <w:adjustRightInd w:val="0"/>
        <w:snapToGrid w:val="0"/>
        <w:spacing w:line="360" w:lineRule="auto"/>
        <w:ind w:firstLine="600" w:firstLineChars="200"/>
        <w:rPr>
          <w:rFonts w:eastAsia="仿宋"/>
          <w:sz w:val="30"/>
          <w:szCs w:val="30"/>
        </w:rPr>
      </w:pPr>
      <w:r>
        <w:rPr>
          <w:rFonts w:hint="eastAsia" w:eastAsia="仿宋"/>
          <w:sz w:val="30"/>
          <w:szCs w:val="30"/>
        </w:rPr>
        <w:t>建立健全工业高质量发展的政策体系、指标体系和评价体系，探索开展工业企业高质量发展综合评价体系试点示范，以评价结果为导向，分类施策，引导土地、水、电、气等各类要素资源向优质工业企业和重点建设项目集中。</w:t>
      </w:r>
      <w:r>
        <w:rPr>
          <w:rFonts w:hint="eastAsia" w:ascii="仿宋" w:hAnsi="仿宋" w:eastAsia="仿宋"/>
          <w:bCs/>
          <w:sz w:val="30"/>
          <w:szCs w:val="30"/>
        </w:rPr>
        <w:t>进一步盘活存量用地，加大土地开发整理力度，用活用足土地置换政策，</w:t>
      </w:r>
      <w:r>
        <w:rPr>
          <w:rFonts w:hint="eastAsia" w:eastAsia="仿宋"/>
          <w:sz w:val="30"/>
          <w:szCs w:val="30"/>
        </w:rPr>
        <w:t>支持土地复合利用，</w:t>
      </w:r>
      <w:r>
        <w:rPr>
          <w:rFonts w:hint="eastAsia" w:ascii="仿宋" w:hAnsi="仿宋" w:eastAsia="仿宋"/>
          <w:bCs/>
          <w:sz w:val="30"/>
          <w:szCs w:val="30"/>
        </w:rPr>
        <w:t>提高土地集约利用水平。</w:t>
      </w:r>
      <w:r>
        <w:rPr>
          <w:rFonts w:hint="eastAsia" w:eastAsia="仿宋"/>
          <w:sz w:val="30"/>
          <w:szCs w:val="30"/>
        </w:rPr>
        <w:t>深化“亩均论英雄”改革，</w:t>
      </w:r>
      <w:r>
        <w:rPr>
          <w:rFonts w:hint="eastAsia" w:ascii="仿宋" w:hAnsi="仿宋" w:eastAsia="仿宋"/>
          <w:bCs/>
          <w:sz w:val="30"/>
          <w:szCs w:val="30"/>
        </w:rPr>
        <w:t>开展批而未供和供而未用土地清理行动、低效工业项目整治提升行动、园区低效用地再开发行动、拆改区块清零提速行动，</w:t>
      </w:r>
      <w:r>
        <w:rPr>
          <w:rFonts w:hint="eastAsia" w:eastAsia="仿宋"/>
          <w:sz w:val="30"/>
          <w:szCs w:val="30"/>
        </w:rPr>
        <w:t>加强地下空间开发利用</w:t>
      </w:r>
      <w:r>
        <w:rPr>
          <w:rFonts w:hint="eastAsia" w:ascii="仿宋" w:hAnsi="仿宋" w:eastAsia="仿宋"/>
          <w:bCs/>
          <w:sz w:val="30"/>
          <w:szCs w:val="30"/>
        </w:rPr>
        <w:t>，优化园区功能布局。</w:t>
      </w:r>
      <w:r>
        <w:rPr>
          <w:rFonts w:hint="eastAsia" w:eastAsia="仿宋"/>
          <w:sz w:val="30"/>
          <w:szCs w:val="30"/>
        </w:rPr>
        <w:t>在符合控制性详规有关要求下，鼓励工业用地“提容增效”，允许企业在现有工业用地上新建、扩建自用生产性用房和生活性服务设施。强化神仙桥产业园的电力保障，统筹安排供电设施及各级输配电线路，新建220KV和110KV等不同电压等级的变电站，力争实现双电源供电。根据《关于印发&lt;热电联产管理办法&gt;的通知》（发改能源〔2016〕617号）等相关政策的要求，神仙桥产业园按照“统一规划、以热定电”和“生产装置副产热能优先利用”的原则，规划建设以天然气为燃料的园区供热设施，实现园区集中供热。</w:t>
      </w:r>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71" w:name="_Toc91676454"/>
      <w:bookmarkStart w:id="72" w:name="_Toc66118530"/>
      <w:bookmarkStart w:id="73" w:name="_Toc64378657"/>
      <w:r>
        <w:rPr>
          <w:rFonts w:hint="eastAsia" w:ascii="黑体" w:hAnsi="黑体" w:eastAsia="黑体" w:cs="Times New Roman"/>
          <w:bCs w:val="0"/>
          <w:color w:val="000000"/>
        </w:rPr>
        <w:t>第五节  加强人才队伍建设</w:t>
      </w:r>
      <w:bookmarkEnd w:id="71"/>
      <w:bookmarkEnd w:id="72"/>
      <w:bookmarkEnd w:id="73"/>
    </w:p>
    <w:p>
      <w:pPr>
        <w:adjustRightInd w:val="0"/>
        <w:snapToGrid w:val="0"/>
        <w:spacing w:line="360" w:lineRule="auto"/>
        <w:ind w:firstLine="600" w:firstLineChars="200"/>
        <w:rPr>
          <w:rFonts w:ascii="仿宋" w:hAnsi="仿宋" w:eastAsia="仿宋"/>
          <w:bCs/>
          <w:sz w:val="30"/>
          <w:szCs w:val="30"/>
        </w:rPr>
      </w:pPr>
      <w:r>
        <w:rPr>
          <w:rFonts w:hint="eastAsia" w:eastAsia="仿宋"/>
          <w:sz w:val="30"/>
          <w:szCs w:val="30"/>
        </w:rPr>
        <w:t>加强工业人才发展统筹规划和分类指导，完善从研发、转化、生产到管理的人才引育体系，加大专业技术人才、经营管理人才和技能人才的引育力度。完善“柔性引才”机制，围绕园区重点产业和重大项目，搭建定制化、个性化科研平台，大力引进产业发展急需的“高精尖”人才。实施企业经营管理人才、产业跨界人才和技能人才提升工程，培育造就一批优秀的企业家和具有“工匠精神”的人才队伍。强化职业教育与产业发展结合，创新职业教育培养模式，开展现代学徒制和企业新型学徒制试点和推广，着力培养技术技能型人才。</w:t>
      </w:r>
      <w:r>
        <w:rPr>
          <w:rFonts w:hint="eastAsia" w:ascii="仿宋" w:hAnsi="仿宋" w:eastAsia="仿宋"/>
          <w:bCs/>
          <w:sz w:val="30"/>
          <w:szCs w:val="30"/>
        </w:rPr>
        <w:t>积极推进与国内知名高校和科研院所的产学研合作和人才培养对接，大力招引硕士研究生和本科层次的专业技术人才。</w:t>
      </w:r>
      <w:r>
        <w:rPr>
          <w:rFonts w:hint="eastAsia" w:eastAsia="仿宋"/>
          <w:sz w:val="30"/>
          <w:szCs w:val="30"/>
        </w:rPr>
        <w:t>重视产业工人培育，深化与成渝地区知名高校以及四川化工职业技术学院、泸州职业技术学院、</w:t>
      </w:r>
      <w:r>
        <w:rPr>
          <w:rFonts w:hint="eastAsia" w:ascii="仿宋" w:hAnsi="仿宋" w:eastAsia="仿宋"/>
          <w:sz w:val="30"/>
          <w:szCs w:val="30"/>
        </w:rPr>
        <w:t>泸州市电子机械学校</w:t>
      </w:r>
      <w:r>
        <w:rPr>
          <w:rFonts w:hint="eastAsia" w:eastAsia="仿宋"/>
          <w:sz w:val="30"/>
          <w:szCs w:val="30"/>
        </w:rPr>
        <w:t>等本地学校的合作，以订单式培训加强专业人才的本地化培养，为各类企业提供</w:t>
      </w:r>
      <w:r>
        <w:rPr>
          <w:rFonts w:hint="eastAsia" w:ascii="仿宋" w:hAnsi="仿宋" w:eastAsia="仿宋"/>
          <w:sz w:val="30"/>
          <w:szCs w:val="30"/>
        </w:rPr>
        <w:t>酿酒、化工、装备制造和电子信息等专业的</w:t>
      </w:r>
      <w:r>
        <w:rPr>
          <w:rFonts w:hint="eastAsia" w:eastAsia="仿宋"/>
          <w:sz w:val="30"/>
          <w:szCs w:val="30"/>
        </w:rPr>
        <w:t>产业工人储备。</w:t>
      </w:r>
      <w:r>
        <w:rPr>
          <w:rFonts w:hint="eastAsia" w:ascii="仿宋" w:hAnsi="仿宋" w:eastAsia="仿宋"/>
          <w:bCs/>
          <w:sz w:val="30"/>
          <w:szCs w:val="30"/>
        </w:rPr>
        <w:t>完善人才创业创新配套措施，全面提升健康、休闲、交通、金融、创业服务水平，打造各类人才高质量的工作生活环境，进一步提升人才归属感、荣誉感、幸福感。</w:t>
      </w:r>
    </w:p>
    <w:p>
      <w:pPr>
        <w:pStyle w:val="3"/>
        <w:adjustRightInd w:val="0"/>
        <w:snapToGrid w:val="0"/>
        <w:spacing w:beforeLines="50" w:beforeAutospacing="0" w:afterLines="50" w:afterAutospacing="0" w:line="360" w:lineRule="auto"/>
        <w:jc w:val="center"/>
        <w:rPr>
          <w:rFonts w:ascii="黑体" w:hAnsi="黑体" w:eastAsia="黑体" w:cs="Times New Roman"/>
          <w:bCs w:val="0"/>
          <w:color w:val="000000"/>
        </w:rPr>
      </w:pPr>
      <w:bookmarkStart w:id="74" w:name="_Toc64378659"/>
      <w:bookmarkStart w:id="75" w:name="_Toc66118531"/>
      <w:bookmarkStart w:id="76" w:name="_Toc91676455"/>
      <w:r>
        <w:rPr>
          <w:rFonts w:hint="eastAsia" w:ascii="黑体" w:hAnsi="黑体" w:eastAsia="黑体" w:cs="Times New Roman"/>
          <w:bCs w:val="0"/>
          <w:color w:val="000000"/>
        </w:rPr>
        <w:t>第六节  健全考核评价机制</w:t>
      </w:r>
      <w:bookmarkEnd w:id="74"/>
      <w:bookmarkEnd w:id="75"/>
      <w:bookmarkEnd w:id="76"/>
    </w:p>
    <w:p>
      <w:pPr>
        <w:adjustRightInd w:val="0"/>
        <w:snapToGrid w:val="0"/>
        <w:spacing w:line="360" w:lineRule="auto"/>
        <w:ind w:firstLine="600" w:firstLineChars="200"/>
        <w:rPr>
          <w:rFonts w:eastAsia="仿宋"/>
          <w:sz w:val="30"/>
          <w:szCs w:val="30"/>
        </w:rPr>
      </w:pPr>
      <w:r>
        <w:rPr>
          <w:rFonts w:hint="eastAsia" w:eastAsia="仿宋"/>
          <w:sz w:val="30"/>
          <w:szCs w:val="30"/>
        </w:rPr>
        <w:t>加强规划协调管理。经开区各部门要依据规划确定的预期目标任务，做好专项规划、部门规划和年度计划的科学衔接，使各类规划在发展目标、空间布局、政策取向、重大项目等方面保持一致，积极引导市场主体行为与经开区战略意图协同。</w:t>
      </w:r>
    </w:p>
    <w:p>
      <w:pPr>
        <w:adjustRightInd w:val="0"/>
        <w:snapToGrid w:val="0"/>
        <w:spacing w:line="360" w:lineRule="auto"/>
        <w:ind w:firstLine="600" w:firstLineChars="200"/>
        <w:rPr>
          <w:rFonts w:eastAsia="仿宋"/>
          <w:sz w:val="30"/>
          <w:szCs w:val="30"/>
        </w:rPr>
      </w:pPr>
      <w:r>
        <w:rPr>
          <w:rFonts w:hint="eastAsia" w:eastAsia="仿宋"/>
          <w:sz w:val="30"/>
          <w:szCs w:val="30"/>
        </w:rPr>
        <w:t>实行综合评价考核。围绕规划确定的战略目标任务，完善目标任务的分类考核机制，健全重要目标任务实施跟踪反馈机制，加强规划实施的监督管理，开展年度对照检查。完善规划督查制度，提高督查效能，保障规划的严格实施。</w:t>
      </w:r>
    </w:p>
    <w:p>
      <w:pPr>
        <w:adjustRightInd w:val="0"/>
        <w:snapToGrid w:val="0"/>
        <w:spacing w:line="360" w:lineRule="auto"/>
        <w:ind w:firstLine="600" w:firstLineChars="200"/>
        <w:rPr>
          <w:rFonts w:ascii="黑体" w:hAnsi="黑体" w:eastAsia="黑体"/>
        </w:rPr>
      </w:pPr>
      <w:r>
        <w:rPr>
          <w:rFonts w:hint="eastAsia" w:eastAsia="仿宋"/>
          <w:sz w:val="30"/>
          <w:szCs w:val="30"/>
        </w:rPr>
        <w:t>建立动态评估机制。加强规划监测评估能力建设，建立规划“编制—实施—评估—调整—实施”的工作机制，引入第三方评估机制，强化对规划实施情况的跟踪分析和督促检查，完善规划指标统计方式，健全规划中期评估制度，不断优化规划实施方案和推进措施，促进规划目标和任务的顺利实现。</w:t>
      </w:r>
    </w:p>
    <w:bookmarkEnd w:id="2"/>
    <w:p>
      <w:pPr>
        <w:adjustRightInd w:val="0"/>
        <w:snapToGrid w:val="0"/>
        <w:spacing w:line="360" w:lineRule="auto"/>
        <w:rPr>
          <w:rFonts w:asciiTheme="minorEastAsia" w:hAnsiTheme="minorEastAsia" w:eastAsiaTheme="minorEastAsia"/>
          <w:sz w:val="28"/>
          <w:szCs w:val="28"/>
        </w:rPr>
      </w:pPr>
    </w:p>
    <w:p>
      <w:pPr>
        <w:adjustRightInd w:val="0"/>
        <w:snapToGrid w:val="0"/>
        <w:spacing w:line="360" w:lineRule="auto"/>
        <w:rPr>
          <w:rFonts w:asciiTheme="minorEastAsia" w:hAnsiTheme="minorEastAsia" w:eastAsiaTheme="minorEastAsia"/>
          <w:sz w:val="28"/>
          <w:szCs w:val="28"/>
        </w:rPr>
      </w:pPr>
    </w:p>
    <w:p>
      <w:pPr>
        <w:adjustRightInd w:val="0"/>
        <w:snapToGrid w:val="0"/>
        <w:spacing w:line="360" w:lineRule="auto"/>
        <w:rPr>
          <w:rFonts w:asciiTheme="minorEastAsia" w:hAnsiTheme="minorEastAsia" w:eastAsiaTheme="minorEastAsia"/>
          <w:sz w:val="28"/>
          <w:szCs w:val="28"/>
        </w:rPr>
      </w:pPr>
    </w:p>
    <w:p>
      <w:pPr>
        <w:adjustRightInd w:val="0"/>
        <w:snapToGrid w:val="0"/>
        <w:spacing w:line="360" w:lineRule="auto"/>
        <w:rPr>
          <w:rFonts w:asciiTheme="minorEastAsia" w:hAnsiTheme="minorEastAsia" w:eastAsiaTheme="minorEastAsia"/>
          <w:sz w:val="28"/>
          <w:szCs w:val="28"/>
        </w:rPr>
      </w:pPr>
    </w:p>
    <w:p>
      <w:pPr>
        <w:adjustRightInd w:val="0"/>
        <w:snapToGrid w:val="0"/>
        <w:spacing w:line="360" w:lineRule="auto"/>
        <w:rPr>
          <w:rFonts w:asciiTheme="minorEastAsia" w:hAnsiTheme="minorEastAsia" w:eastAsiaTheme="minorEastAsia"/>
          <w:sz w:val="28"/>
          <w:szCs w:val="28"/>
        </w:rPr>
      </w:pPr>
    </w:p>
    <w:p>
      <w:pPr>
        <w:adjustRightInd w:val="0"/>
        <w:snapToGrid w:val="0"/>
        <w:spacing w:line="360" w:lineRule="auto"/>
        <w:rPr>
          <w:rFonts w:asciiTheme="minorEastAsia" w:hAnsiTheme="minorEastAsia" w:eastAsiaTheme="minorEastAsia"/>
          <w:sz w:val="28"/>
          <w:szCs w:val="28"/>
        </w:rPr>
      </w:pPr>
    </w:p>
    <w:p>
      <w:pPr>
        <w:adjustRightInd w:val="0"/>
        <w:snapToGrid w:val="0"/>
        <w:spacing w:line="360" w:lineRule="auto"/>
        <w:rPr>
          <w:rFonts w:asciiTheme="minorEastAsia" w:hAnsiTheme="minorEastAsia" w:eastAsiaTheme="minorEastAsia"/>
          <w:sz w:val="28"/>
          <w:szCs w:val="28"/>
        </w:rPr>
      </w:pPr>
    </w:p>
    <w:p>
      <w:pPr>
        <w:adjustRightInd w:val="0"/>
        <w:snapToGrid w:val="0"/>
        <w:spacing w:line="360" w:lineRule="auto"/>
        <w:rPr>
          <w:rFonts w:asciiTheme="minorEastAsia" w:hAnsiTheme="minorEastAsia" w:eastAsiaTheme="minorEastAsia"/>
          <w:sz w:val="28"/>
          <w:szCs w:val="28"/>
        </w:rPr>
      </w:pPr>
    </w:p>
    <w:p>
      <w:pPr>
        <w:adjustRightInd w:val="0"/>
        <w:snapToGrid w:val="0"/>
        <w:spacing w:line="360" w:lineRule="auto"/>
        <w:rPr>
          <w:rFonts w:asciiTheme="minorEastAsia" w:hAnsiTheme="minorEastAsia" w:eastAsiaTheme="minorEastAsia"/>
          <w:sz w:val="28"/>
          <w:szCs w:val="28"/>
        </w:rPr>
      </w:pPr>
    </w:p>
    <w:p>
      <w:pPr>
        <w:adjustRightInd w:val="0"/>
        <w:snapToGrid w:val="0"/>
        <w:spacing w:line="360" w:lineRule="auto"/>
        <w:rPr>
          <w:rFonts w:asciiTheme="minorEastAsia" w:hAnsiTheme="minorEastAsia" w:eastAsiaTheme="minorEastAsia"/>
          <w:sz w:val="28"/>
          <w:szCs w:val="28"/>
        </w:rPr>
      </w:pPr>
    </w:p>
    <w:p>
      <w:pPr>
        <w:adjustRightInd w:val="0"/>
        <w:snapToGrid w:val="0"/>
        <w:spacing w:line="360" w:lineRule="auto"/>
        <w:rPr>
          <w:rFonts w:asciiTheme="minorEastAsia" w:hAnsiTheme="minorEastAsia" w:eastAsiaTheme="minorEastAsia"/>
          <w:sz w:val="28"/>
          <w:szCs w:val="28"/>
        </w:rPr>
      </w:pPr>
    </w:p>
    <w:p>
      <w:pPr>
        <w:adjustRightInd w:val="0"/>
        <w:snapToGrid w:val="0"/>
        <w:spacing w:line="360" w:lineRule="auto"/>
        <w:rPr>
          <w:rFonts w:asciiTheme="minorEastAsia" w:hAnsiTheme="minorEastAsia" w:eastAsiaTheme="minorEastAsia"/>
          <w:sz w:val="28"/>
          <w:szCs w:val="28"/>
        </w:rPr>
      </w:pPr>
    </w:p>
    <w:p>
      <w:pPr>
        <w:adjustRightInd w:val="0"/>
        <w:snapToGrid w:val="0"/>
        <w:spacing w:line="360" w:lineRule="auto"/>
        <w:rPr>
          <w:rFonts w:asciiTheme="minorEastAsia" w:hAnsiTheme="minorEastAsia" w:eastAsiaTheme="minorEastAsia"/>
          <w:sz w:val="28"/>
          <w:szCs w:val="28"/>
        </w:rPr>
      </w:pPr>
    </w:p>
    <w:p>
      <w:pPr>
        <w:adjustRightInd w:val="0"/>
        <w:snapToGrid w:val="0"/>
        <w:spacing w:line="360" w:lineRule="auto"/>
        <w:rPr>
          <w:rFonts w:asciiTheme="minorEastAsia" w:hAnsiTheme="minorEastAsia" w:eastAsiaTheme="minorEastAsia"/>
          <w:sz w:val="28"/>
          <w:szCs w:val="28"/>
        </w:rPr>
      </w:pPr>
    </w:p>
    <w:p>
      <w:pPr>
        <w:adjustRightInd w:val="0"/>
        <w:snapToGrid w:val="0"/>
        <w:spacing w:line="360" w:lineRule="auto"/>
        <w:rPr>
          <w:rFonts w:asciiTheme="minorEastAsia" w:hAnsiTheme="minorEastAsia" w:eastAsiaTheme="minorEastAsia"/>
          <w:sz w:val="28"/>
          <w:szCs w:val="28"/>
        </w:rPr>
      </w:pPr>
    </w:p>
    <w:p>
      <w:pPr>
        <w:adjustRightInd w:val="0"/>
        <w:snapToGrid w:val="0"/>
        <w:spacing w:line="360" w:lineRule="auto"/>
        <w:rPr>
          <w:rFonts w:asciiTheme="minorEastAsia" w:hAnsiTheme="minorEastAsia" w:eastAsiaTheme="minorEastAsia"/>
          <w:sz w:val="28"/>
          <w:szCs w:val="28"/>
        </w:rPr>
      </w:pPr>
    </w:p>
    <w:p>
      <w:pPr>
        <w:adjustRightInd w:val="0"/>
        <w:snapToGrid w:val="0"/>
        <w:spacing w:line="360" w:lineRule="auto"/>
        <w:rPr>
          <w:rFonts w:asciiTheme="minorEastAsia" w:hAnsiTheme="minorEastAsia" w:eastAsiaTheme="minorEastAsia"/>
          <w:sz w:val="28"/>
          <w:szCs w:val="28"/>
        </w:rPr>
      </w:pPr>
    </w:p>
    <w:p>
      <w:pPr>
        <w:adjustRightInd w:val="0"/>
        <w:snapToGrid w:val="0"/>
        <w:spacing w:line="360" w:lineRule="auto"/>
        <w:rPr>
          <w:rFonts w:asciiTheme="minorEastAsia" w:hAnsiTheme="minorEastAsia" w:eastAsiaTheme="minorEastAsia"/>
          <w:sz w:val="28"/>
          <w:szCs w:val="28"/>
        </w:rPr>
      </w:pPr>
    </w:p>
    <w:p>
      <w:pPr>
        <w:adjustRightInd w:val="0"/>
        <w:snapToGrid w:val="0"/>
        <w:spacing w:line="360" w:lineRule="auto"/>
        <w:rPr>
          <w:rFonts w:asciiTheme="minorEastAsia" w:hAnsiTheme="minorEastAsia" w:eastAsiaTheme="minorEastAsia"/>
          <w:sz w:val="28"/>
          <w:szCs w:val="28"/>
        </w:rPr>
      </w:pPr>
    </w:p>
    <w:p>
      <w:pPr>
        <w:adjustRightInd w:val="0"/>
        <w:snapToGrid w:val="0"/>
        <w:spacing w:line="360" w:lineRule="auto"/>
        <w:rPr>
          <w:rFonts w:asciiTheme="minorEastAsia" w:hAnsiTheme="minorEastAsia" w:eastAsiaTheme="minorEastAsia"/>
          <w:sz w:val="28"/>
          <w:szCs w:val="28"/>
        </w:rPr>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p>
    <w:p>
      <w:pPr>
        <w:jc w:val="center"/>
        <w:rPr>
          <w:rFonts w:hint="eastAsia" w:ascii="仿宋_GB2312" w:eastAsia="仿宋_GB2312" w:hAnsiTheme="minorEastAsia"/>
          <w:sz w:val="32"/>
          <w:szCs w:val="32"/>
        </w:rPr>
      </w:pPr>
      <w:r>
        <w:rPr>
          <w:rFonts w:hint="eastAsia" w:ascii="仿宋_GB2312" w:eastAsia="仿宋_GB2312" w:hAnsiTheme="minorEastAsia"/>
          <w:sz w:val="32"/>
          <w:szCs w:val="32"/>
        </w:rPr>
        <w:t>《四川泸县经济开发区“十四五”发展规划（征求意见稿）》征求意见表</w:t>
      </w:r>
    </w:p>
    <w:p>
      <w:pPr>
        <w:jc w:val="center"/>
        <w:rPr>
          <w:rFonts w:hint="eastAsia" w:ascii="仿宋_GB2312" w:eastAsia="仿宋_GB2312" w:hAnsiTheme="minorEastAsia"/>
          <w:sz w:val="32"/>
          <w:szCs w:val="32"/>
        </w:rPr>
      </w:pPr>
    </w:p>
    <w:tbl>
      <w:tblPr>
        <w:tblStyle w:val="42"/>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3"/>
        <w:gridCol w:w="3543"/>
        <w:gridCol w:w="3544"/>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trPr>
        <w:tc>
          <w:tcPr>
            <w:tcW w:w="3543" w:type="dxa"/>
            <w:vAlign w:val="center"/>
          </w:tcPr>
          <w:p>
            <w:pPr>
              <w:widowControl w:val="0"/>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公众参与者</w:t>
            </w:r>
          </w:p>
        </w:tc>
        <w:tc>
          <w:tcPr>
            <w:tcW w:w="3543" w:type="dxa"/>
            <w:vAlign w:val="center"/>
          </w:tcPr>
          <w:p>
            <w:pPr>
              <w:widowControl w:val="0"/>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联系电话</w:t>
            </w:r>
          </w:p>
        </w:tc>
        <w:tc>
          <w:tcPr>
            <w:tcW w:w="3544" w:type="dxa"/>
            <w:vAlign w:val="center"/>
          </w:tcPr>
          <w:p>
            <w:pPr>
              <w:widowControl w:val="0"/>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原文摘要</w:t>
            </w:r>
          </w:p>
        </w:tc>
        <w:tc>
          <w:tcPr>
            <w:tcW w:w="3544" w:type="dxa"/>
            <w:vAlign w:val="center"/>
          </w:tcPr>
          <w:p>
            <w:pPr>
              <w:widowControl w:val="0"/>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修改或建议意见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trPr>
        <w:tc>
          <w:tcPr>
            <w:tcW w:w="3543" w:type="dxa"/>
            <w:vAlign w:val="center"/>
          </w:tcPr>
          <w:p>
            <w:pPr>
              <w:widowControl w:val="0"/>
              <w:jc w:val="center"/>
              <w:rPr>
                <w:rFonts w:asciiTheme="minorEastAsia" w:hAnsiTheme="minorEastAsia" w:eastAsiaTheme="minorEastAsia"/>
                <w:sz w:val="28"/>
                <w:szCs w:val="28"/>
              </w:rPr>
            </w:pPr>
          </w:p>
        </w:tc>
        <w:tc>
          <w:tcPr>
            <w:tcW w:w="3543" w:type="dxa"/>
            <w:vAlign w:val="center"/>
          </w:tcPr>
          <w:p>
            <w:pPr>
              <w:widowControl w:val="0"/>
              <w:jc w:val="center"/>
              <w:rPr>
                <w:rFonts w:asciiTheme="minorEastAsia" w:hAnsiTheme="minorEastAsia" w:eastAsiaTheme="minorEastAsia"/>
                <w:sz w:val="28"/>
                <w:szCs w:val="28"/>
              </w:rPr>
            </w:pPr>
          </w:p>
        </w:tc>
        <w:tc>
          <w:tcPr>
            <w:tcW w:w="3544" w:type="dxa"/>
            <w:vAlign w:val="center"/>
          </w:tcPr>
          <w:p>
            <w:pPr>
              <w:widowControl w:val="0"/>
              <w:jc w:val="center"/>
              <w:rPr>
                <w:rFonts w:asciiTheme="minorEastAsia" w:hAnsiTheme="minorEastAsia" w:eastAsiaTheme="minorEastAsia"/>
                <w:sz w:val="28"/>
                <w:szCs w:val="28"/>
              </w:rPr>
            </w:pPr>
          </w:p>
        </w:tc>
        <w:tc>
          <w:tcPr>
            <w:tcW w:w="3544" w:type="dxa"/>
            <w:vAlign w:val="center"/>
          </w:tcPr>
          <w:p>
            <w:pPr>
              <w:widowControl w:val="0"/>
              <w:jc w:val="center"/>
              <w:rPr>
                <w:rFonts w:asciiTheme="minorEastAsia" w:hAnsiTheme="minorEastAsia" w:eastAsia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trPr>
        <w:tc>
          <w:tcPr>
            <w:tcW w:w="3543" w:type="dxa"/>
            <w:vAlign w:val="center"/>
          </w:tcPr>
          <w:p>
            <w:pPr>
              <w:widowControl w:val="0"/>
              <w:jc w:val="center"/>
              <w:rPr>
                <w:rFonts w:asciiTheme="minorEastAsia" w:hAnsiTheme="minorEastAsia" w:eastAsiaTheme="minorEastAsia"/>
                <w:sz w:val="28"/>
                <w:szCs w:val="28"/>
              </w:rPr>
            </w:pPr>
          </w:p>
        </w:tc>
        <w:tc>
          <w:tcPr>
            <w:tcW w:w="3543" w:type="dxa"/>
            <w:vAlign w:val="center"/>
          </w:tcPr>
          <w:p>
            <w:pPr>
              <w:widowControl w:val="0"/>
              <w:jc w:val="center"/>
              <w:rPr>
                <w:rFonts w:asciiTheme="minorEastAsia" w:hAnsiTheme="minorEastAsia" w:eastAsiaTheme="minorEastAsia"/>
                <w:sz w:val="28"/>
                <w:szCs w:val="28"/>
              </w:rPr>
            </w:pPr>
          </w:p>
        </w:tc>
        <w:tc>
          <w:tcPr>
            <w:tcW w:w="3544" w:type="dxa"/>
            <w:vAlign w:val="center"/>
          </w:tcPr>
          <w:p>
            <w:pPr>
              <w:widowControl w:val="0"/>
              <w:jc w:val="center"/>
              <w:rPr>
                <w:rFonts w:asciiTheme="minorEastAsia" w:hAnsiTheme="minorEastAsia" w:eastAsiaTheme="minorEastAsia"/>
                <w:sz w:val="28"/>
                <w:szCs w:val="28"/>
              </w:rPr>
            </w:pPr>
          </w:p>
        </w:tc>
        <w:tc>
          <w:tcPr>
            <w:tcW w:w="3544" w:type="dxa"/>
            <w:vAlign w:val="center"/>
          </w:tcPr>
          <w:p>
            <w:pPr>
              <w:widowControl w:val="0"/>
              <w:jc w:val="center"/>
              <w:rPr>
                <w:rFonts w:asciiTheme="minorEastAsia" w:hAnsiTheme="minorEastAsia" w:eastAsia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trPr>
        <w:tc>
          <w:tcPr>
            <w:tcW w:w="3543" w:type="dxa"/>
            <w:vAlign w:val="center"/>
          </w:tcPr>
          <w:p>
            <w:pPr>
              <w:widowControl w:val="0"/>
              <w:jc w:val="center"/>
              <w:rPr>
                <w:rFonts w:asciiTheme="minorEastAsia" w:hAnsiTheme="minorEastAsia" w:eastAsiaTheme="minorEastAsia"/>
                <w:sz w:val="28"/>
                <w:szCs w:val="28"/>
              </w:rPr>
            </w:pPr>
          </w:p>
        </w:tc>
        <w:tc>
          <w:tcPr>
            <w:tcW w:w="3543" w:type="dxa"/>
            <w:vAlign w:val="center"/>
          </w:tcPr>
          <w:p>
            <w:pPr>
              <w:widowControl w:val="0"/>
              <w:jc w:val="center"/>
              <w:rPr>
                <w:rFonts w:asciiTheme="minorEastAsia" w:hAnsiTheme="minorEastAsia" w:eastAsiaTheme="minorEastAsia"/>
                <w:sz w:val="28"/>
                <w:szCs w:val="28"/>
              </w:rPr>
            </w:pPr>
          </w:p>
        </w:tc>
        <w:tc>
          <w:tcPr>
            <w:tcW w:w="3544" w:type="dxa"/>
            <w:vAlign w:val="center"/>
          </w:tcPr>
          <w:p>
            <w:pPr>
              <w:widowControl w:val="0"/>
              <w:jc w:val="center"/>
              <w:rPr>
                <w:rFonts w:asciiTheme="minorEastAsia" w:hAnsiTheme="minorEastAsia" w:eastAsiaTheme="minorEastAsia"/>
                <w:sz w:val="28"/>
                <w:szCs w:val="28"/>
              </w:rPr>
            </w:pPr>
          </w:p>
        </w:tc>
        <w:tc>
          <w:tcPr>
            <w:tcW w:w="3544" w:type="dxa"/>
            <w:vAlign w:val="center"/>
          </w:tcPr>
          <w:p>
            <w:pPr>
              <w:widowControl w:val="0"/>
              <w:jc w:val="center"/>
              <w:rPr>
                <w:rFonts w:asciiTheme="minorEastAsia" w:hAnsiTheme="minorEastAsia" w:eastAsia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trPr>
        <w:tc>
          <w:tcPr>
            <w:tcW w:w="3543" w:type="dxa"/>
            <w:vAlign w:val="center"/>
          </w:tcPr>
          <w:p>
            <w:pPr>
              <w:widowControl w:val="0"/>
              <w:jc w:val="center"/>
              <w:rPr>
                <w:rFonts w:asciiTheme="minorEastAsia" w:hAnsiTheme="minorEastAsia" w:eastAsiaTheme="minorEastAsia"/>
                <w:sz w:val="28"/>
                <w:szCs w:val="28"/>
              </w:rPr>
            </w:pPr>
          </w:p>
        </w:tc>
        <w:tc>
          <w:tcPr>
            <w:tcW w:w="3543" w:type="dxa"/>
            <w:vAlign w:val="center"/>
          </w:tcPr>
          <w:p>
            <w:pPr>
              <w:widowControl w:val="0"/>
              <w:jc w:val="center"/>
              <w:rPr>
                <w:rFonts w:asciiTheme="minorEastAsia" w:hAnsiTheme="minorEastAsia" w:eastAsiaTheme="minorEastAsia"/>
                <w:sz w:val="28"/>
                <w:szCs w:val="28"/>
              </w:rPr>
            </w:pPr>
          </w:p>
        </w:tc>
        <w:tc>
          <w:tcPr>
            <w:tcW w:w="3544" w:type="dxa"/>
            <w:vAlign w:val="center"/>
          </w:tcPr>
          <w:p>
            <w:pPr>
              <w:widowControl w:val="0"/>
              <w:jc w:val="center"/>
              <w:rPr>
                <w:rFonts w:asciiTheme="minorEastAsia" w:hAnsiTheme="minorEastAsia" w:eastAsiaTheme="minorEastAsia"/>
                <w:sz w:val="28"/>
                <w:szCs w:val="28"/>
              </w:rPr>
            </w:pPr>
          </w:p>
        </w:tc>
        <w:tc>
          <w:tcPr>
            <w:tcW w:w="3544" w:type="dxa"/>
            <w:vAlign w:val="center"/>
          </w:tcPr>
          <w:p>
            <w:pPr>
              <w:widowControl w:val="0"/>
              <w:jc w:val="center"/>
              <w:rPr>
                <w:rFonts w:asciiTheme="minorEastAsia" w:hAnsiTheme="minorEastAsia" w:eastAsia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trPr>
        <w:tc>
          <w:tcPr>
            <w:tcW w:w="3543" w:type="dxa"/>
            <w:vAlign w:val="center"/>
          </w:tcPr>
          <w:p>
            <w:pPr>
              <w:widowControl w:val="0"/>
              <w:jc w:val="center"/>
              <w:rPr>
                <w:rFonts w:asciiTheme="minorEastAsia" w:hAnsiTheme="minorEastAsia" w:eastAsiaTheme="minorEastAsia"/>
                <w:sz w:val="28"/>
                <w:szCs w:val="28"/>
              </w:rPr>
            </w:pPr>
          </w:p>
        </w:tc>
        <w:tc>
          <w:tcPr>
            <w:tcW w:w="3543" w:type="dxa"/>
            <w:vAlign w:val="center"/>
          </w:tcPr>
          <w:p>
            <w:pPr>
              <w:widowControl w:val="0"/>
              <w:jc w:val="center"/>
              <w:rPr>
                <w:rFonts w:asciiTheme="minorEastAsia" w:hAnsiTheme="minorEastAsia" w:eastAsiaTheme="minorEastAsia"/>
                <w:sz w:val="28"/>
                <w:szCs w:val="28"/>
              </w:rPr>
            </w:pPr>
          </w:p>
        </w:tc>
        <w:tc>
          <w:tcPr>
            <w:tcW w:w="3544" w:type="dxa"/>
            <w:vAlign w:val="center"/>
          </w:tcPr>
          <w:p>
            <w:pPr>
              <w:widowControl w:val="0"/>
              <w:jc w:val="center"/>
              <w:rPr>
                <w:rFonts w:asciiTheme="minorEastAsia" w:hAnsiTheme="minorEastAsia" w:eastAsiaTheme="minorEastAsia"/>
                <w:sz w:val="28"/>
                <w:szCs w:val="28"/>
              </w:rPr>
            </w:pPr>
          </w:p>
        </w:tc>
        <w:tc>
          <w:tcPr>
            <w:tcW w:w="3544" w:type="dxa"/>
            <w:vAlign w:val="center"/>
          </w:tcPr>
          <w:p>
            <w:pPr>
              <w:widowControl w:val="0"/>
              <w:jc w:val="center"/>
              <w:rPr>
                <w:rFonts w:asciiTheme="minorEastAsia" w:hAnsiTheme="minorEastAsia" w:eastAsiaTheme="minorEastAsia"/>
                <w:sz w:val="28"/>
                <w:szCs w:val="28"/>
              </w:rPr>
            </w:pPr>
          </w:p>
        </w:tc>
      </w:tr>
    </w:tbl>
    <w:p>
      <w:pPr>
        <w:rPr>
          <w:rFonts w:eastAsia="仿宋"/>
          <w:spacing w:val="-20"/>
          <w:sz w:val="30"/>
          <w:szCs w:val="30"/>
        </w:rPr>
      </w:pPr>
      <w:r>
        <w:rPr>
          <w:rFonts w:hint="eastAsia" w:eastAsia="仿宋"/>
          <w:spacing w:val="-20"/>
          <w:sz w:val="30"/>
          <w:szCs w:val="30"/>
        </w:rPr>
        <w:t>备注：望广大群众积极参与建言，并于2022年9月30日前将征求意见表通过邮箱或邮寄地址反馈我单位，为谢！</w:t>
      </w:r>
    </w:p>
    <w:p>
      <w:pPr>
        <w:rPr>
          <w:rFonts w:ascii="仿宋_GB2312" w:hAnsi="华文中宋" w:eastAsia="仿宋_GB2312" w:cs="华文中宋"/>
          <w:sz w:val="32"/>
          <w:szCs w:val="32"/>
        </w:rPr>
      </w:pPr>
    </w:p>
    <w:sectPr>
      <w:pgSz w:w="16838" w:h="11906" w:orient="landscape"/>
      <w:pgMar w:top="1800" w:right="1440" w:bottom="1800" w:left="1440" w:header="851" w:footer="992" w:gutter="0"/>
      <w:pgNumType w:start="1"/>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楷体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Consolas">
    <w:panose1 w:val="020B0609020204030204"/>
    <w:charset w:val="00"/>
    <w:family w:val="modern"/>
    <w:pitch w:val="default"/>
    <w:sig w:usb0="E10002FF" w:usb1="4000FCFF" w:usb2="00000009" w:usb3="00000000" w:csb0="6000019F" w:csb1="DFD70000"/>
  </w:font>
  <w:font w:name="Courier New">
    <w:panose1 w:val="02070309020205020404"/>
    <w:charset w:val="00"/>
    <w:family w:val="modern"/>
    <w:pitch w:val="default"/>
    <w:sig w:usb0="E0002AFF" w:usb1="C0007843" w:usb2="00000009" w:usb3="00000000" w:csb0="400001FF" w:csb1="FFFF0000"/>
  </w:font>
  <w:font w:name="华文楷体">
    <w:altName w:val="楷体_GB2312"/>
    <w:panose1 w:val="02010600040101010101"/>
    <w:charset w:val="86"/>
    <w:family w:val="auto"/>
    <w:pitch w:val="default"/>
    <w:sig w:usb0="00000000" w:usb1="00000000" w:usb2="00000010" w:usb3="00000000" w:csb0="000400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简体">
    <w:panose1 w:val="03000509000000000000"/>
    <w:charset w:val="86"/>
    <w:family w:val="auto"/>
    <w:pitch w:val="default"/>
    <w:sig w:usb0="00000001" w:usb1="080E0000" w:usb2="00000000" w:usb3="00000000" w:csb0="00040000" w:csb1="00000000"/>
  </w:font>
  <w:font w:name="方正黑体简体">
    <w:panose1 w:val="03000509000000000000"/>
    <w:charset w:val="86"/>
    <w:family w:val="auto"/>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p>
    <w:pPr>
      <w:pStyle w:val="1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fldChar w:fldCharType="begin"/>
    </w:r>
    <w:r>
      <w:instrText xml:space="preserve"> PAGE   \* MERGEFORMAT </w:instrText>
    </w:r>
    <w:r>
      <w:fldChar w:fldCharType="separate"/>
    </w:r>
    <w:r>
      <w:rPr>
        <w:lang w:val="zh-CN"/>
      </w:rPr>
      <w:t>66</w:t>
    </w:r>
    <w:r>
      <w:rPr>
        <w:lang w:val="zh-CN"/>
      </w:rPr>
      <w:fldChar w:fldCharType="end"/>
    </w:r>
  </w:p>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645CA4"/>
    <w:multiLevelType w:val="multilevel"/>
    <w:tmpl w:val="66645CA4"/>
    <w:lvl w:ilvl="0" w:tentative="0">
      <w:start w:val="1"/>
      <w:numFmt w:val="decimal"/>
      <w:pStyle w:val="155"/>
      <w:lvlText w:val="（%1）"/>
      <w:lvlJc w:val="left"/>
      <w:pPr>
        <w:ind w:left="420" w:hanging="420"/>
      </w:pPr>
      <w:rPr>
        <w:rFonts w:hint="default" w:ascii="Arial" w:hAnsi="Arial" w:cs="Times New Roman"/>
        <w:b/>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ind w:left="790" w:hanging="420"/>
      </w:pPr>
    </w:lvl>
    <w:lvl w:ilvl="2" w:tentative="0">
      <w:start w:val="1"/>
      <w:numFmt w:val="lowerRoman"/>
      <w:lvlText w:val="%3."/>
      <w:lvlJc w:val="right"/>
      <w:pPr>
        <w:ind w:left="1210" w:hanging="420"/>
      </w:pPr>
    </w:lvl>
    <w:lvl w:ilvl="3" w:tentative="0">
      <w:start w:val="1"/>
      <w:numFmt w:val="decimal"/>
      <w:lvlText w:val="%4."/>
      <w:lvlJc w:val="left"/>
      <w:pPr>
        <w:ind w:left="1630" w:hanging="420"/>
      </w:pPr>
    </w:lvl>
    <w:lvl w:ilvl="4" w:tentative="0">
      <w:start w:val="1"/>
      <w:numFmt w:val="lowerLetter"/>
      <w:lvlText w:val="%5)"/>
      <w:lvlJc w:val="left"/>
      <w:pPr>
        <w:ind w:left="2050" w:hanging="420"/>
      </w:pPr>
    </w:lvl>
    <w:lvl w:ilvl="5" w:tentative="0">
      <w:start w:val="1"/>
      <w:numFmt w:val="lowerRoman"/>
      <w:lvlText w:val="%6."/>
      <w:lvlJc w:val="right"/>
      <w:pPr>
        <w:ind w:left="2470" w:hanging="420"/>
      </w:pPr>
    </w:lvl>
    <w:lvl w:ilvl="6" w:tentative="0">
      <w:start w:val="1"/>
      <w:numFmt w:val="decimal"/>
      <w:lvlText w:val="%7."/>
      <w:lvlJc w:val="left"/>
      <w:pPr>
        <w:ind w:left="2890" w:hanging="420"/>
      </w:pPr>
    </w:lvl>
    <w:lvl w:ilvl="7" w:tentative="0">
      <w:start w:val="1"/>
      <w:numFmt w:val="lowerLetter"/>
      <w:lvlText w:val="%8)"/>
      <w:lvlJc w:val="left"/>
      <w:pPr>
        <w:ind w:left="3310" w:hanging="420"/>
      </w:pPr>
    </w:lvl>
    <w:lvl w:ilvl="8" w:tentative="0">
      <w:start w:val="1"/>
      <w:numFmt w:val="lowerRoman"/>
      <w:lvlText w:val="%9."/>
      <w:lvlJc w:val="right"/>
      <w:pPr>
        <w:ind w:left="373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E35D7"/>
    <w:rsid w:val="000004CC"/>
    <w:rsid w:val="00001111"/>
    <w:rsid w:val="0000197C"/>
    <w:rsid w:val="00001D2E"/>
    <w:rsid w:val="00001D4F"/>
    <w:rsid w:val="000025FB"/>
    <w:rsid w:val="000051E0"/>
    <w:rsid w:val="00005DDB"/>
    <w:rsid w:val="00012460"/>
    <w:rsid w:val="00012BE4"/>
    <w:rsid w:val="00012F74"/>
    <w:rsid w:val="00016FE7"/>
    <w:rsid w:val="00021B6F"/>
    <w:rsid w:val="000271DB"/>
    <w:rsid w:val="00027D49"/>
    <w:rsid w:val="00030481"/>
    <w:rsid w:val="00030D3B"/>
    <w:rsid w:val="000317C3"/>
    <w:rsid w:val="000324E6"/>
    <w:rsid w:val="000362B9"/>
    <w:rsid w:val="00037235"/>
    <w:rsid w:val="0004321F"/>
    <w:rsid w:val="00043C14"/>
    <w:rsid w:val="000441D9"/>
    <w:rsid w:val="000442E5"/>
    <w:rsid w:val="00044349"/>
    <w:rsid w:val="00044973"/>
    <w:rsid w:val="00044C15"/>
    <w:rsid w:val="000468E5"/>
    <w:rsid w:val="000469A5"/>
    <w:rsid w:val="000538C5"/>
    <w:rsid w:val="00056F08"/>
    <w:rsid w:val="00063018"/>
    <w:rsid w:val="000634A7"/>
    <w:rsid w:val="00066128"/>
    <w:rsid w:val="00070235"/>
    <w:rsid w:val="00070B9B"/>
    <w:rsid w:val="00070DD6"/>
    <w:rsid w:val="0007419F"/>
    <w:rsid w:val="0007564A"/>
    <w:rsid w:val="0008004D"/>
    <w:rsid w:val="0008221F"/>
    <w:rsid w:val="0008289C"/>
    <w:rsid w:val="00084253"/>
    <w:rsid w:val="00085B1D"/>
    <w:rsid w:val="00087A92"/>
    <w:rsid w:val="00090C11"/>
    <w:rsid w:val="00090F8A"/>
    <w:rsid w:val="0009404B"/>
    <w:rsid w:val="0009405C"/>
    <w:rsid w:val="000943BA"/>
    <w:rsid w:val="000944C0"/>
    <w:rsid w:val="00096E74"/>
    <w:rsid w:val="00097268"/>
    <w:rsid w:val="000979F7"/>
    <w:rsid w:val="000A0B17"/>
    <w:rsid w:val="000A0D50"/>
    <w:rsid w:val="000A1360"/>
    <w:rsid w:val="000A1381"/>
    <w:rsid w:val="000A1AA8"/>
    <w:rsid w:val="000A2EB5"/>
    <w:rsid w:val="000A397A"/>
    <w:rsid w:val="000A49DD"/>
    <w:rsid w:val="000A53B6"/>
    <w:rsid w:val="000A5DB5"/>
    <w:rsid w:val="000A6C10"/>
    <w:rsid w:val="000B0DAB"/>
    <w:rsid w:val="000B13E8"/>
    <w:rsid w:val="000B1851"/>
    <w:rsid w:val="000B2B0C"/>
    <w:rsid w:val="000B746B"/>
    <w:rsid w:val="000B7DB7"/>
    <w:rsid w:val="000C154E"/>
    <w:rsid w:val="000C477D"/>
    <w:rsid w:val="000C60B1"/>
    <w:rsid w:val="000C6122"/>
    <w:rsid w:val="000D0D0E"/>
    <w:rsid w:val="000D19E8"/>
    <w:rsid w:val="000D38D2"/>
    <w:rsid w:val="000D396D"/>
    <w:rsid w:val="000D6A30"/>
    <w:rsid w:val="000D759D"/>
    <w:rsid w:val="000E15A1"/>
    <w:rsid w:val="000E4067"/>
    <w:rsid w:val="000E6D56"/>
    <w:rsid w:val="000E7240"/>
    <w:rsid w:val="000E758C"/>
    <w:rsid w:val="000F0BBF"/>
    <w:rsid w:val="000F1E4C"/>
    <w:rsid w:val="000F727B"/>
    <w:rsid w:val="00103C9B"/>
    <w:rsid w:val="00103EC6"/>
    <w:rsid w:val="00110D77"/>
    <w:rsid w:val="00114587"/>
    <w:rsid w:val="00114B82"/>
    <w:rsid w:val="00115668"/>
    <w:rsid w:val="00116B38"/>
    <w:rsid w:val="00116D94"/>
    <w:rsid w:val="00117B5B"/>
    <w:rsid w:val="00117E9A"/>
    <w:rsid w:val="001221B5"/>
    <w:rsid w:val="0012403A"/>
    <w:rsid w:val="00124287"/>
    <w:rsid w:val="00124C37"/>
    <w:rsid w:val="00126C39"/>
    <w:rsid w:val="001303EF"/>
    <w:rsid w:val="00130853"/>
    <w:rsid w:val="00130F6C"/>
    <w:rsid w:val="00131D75"/>
    <w:rsid w:val="001338E8"/>
    <w:rsid w:val="00133EFC"/>
    <w:rsid w:val="0013408E"/>
    <w:rsid w:val="001409AB"/>
    <w:rsid w:val="00144277"/>
    <w:rsid w:val="00145ED0"/>
    <w:rsid w:val="00150594"/>
    <w:rsid w:val="00150A6E"/>
    <w:rsid w:val="00151F9B"/>
    <w:rsid w:val="0016233E"/>
    <w:rsid w:val="00162B77"/>
    <w:rsid w:val="00162F78"/>
    <w:rsid w:val="00164DA5"/>
    <w:rsid w:val="00165F1B"/>
    <w:rsid w:val="001663E3"/>
    <w:rsid w:val="00167231"/>
    <w:rsid w:val="001674F2"/>
    <w:rsid w:val="00167E51"/>
    <w:rsid w:val="00170388"/>
    <w:rsid w:val="001704F6"/>
    <w:rsid w:val="0017151C"/>
    <w:rsid w:val="00171C68"/>
    <w:rsid w:val="001727C1"/>
    <w:rsid w:val="00173E2C"/>
    <w:rsid w:val="0017440F"/>
    <w:rsid w:val="001752A1"/>
    <w:rsid w:val="0017770E"/>
    <w:rsid w:val="00184A95"/>
    <w:rsid w:val="001854FB"/>
    <w:rsid w:val="001859BE"/>
    <w:rsid w:val="00186084"/>
    <w:rsid w:val="00186240"/>
    <w:rsid w:val="00186BAF"/>
    <w:rsid w:val="00190CBE"/>
    <w:rsid w:val="00191918"/>
    <w:rsid w:val="00192932"/>
    <w:rsid w:val="00193E17"/>
    <w:rsid w:val="001A17DB"/>
    <w:rsid w:val="001A2C49"/>
    <w:rsid w:val="001A2E20"/>
    <w:rsid w:val="001A3931"/>
    <w:rsid w:val="001A5AA7"/>
    <w:rsid w:val="001A74AB"/>
    <w:rsid w:val="001B0ABC"/>
    <w:rsid w:val="001B0C23"/>
    <w:rsid w:val="001B23B3"/>
    <w:rsid w:val="001B3DD4"/>
    <w:rsid w:val="001B5232"/>
    <w:rsid w:val="001B7F10"/>
    <w:rsid w:val="001C05FF"/>
    <w:rsid w:val="001C43A0"/>
    <w:rsid w:val="001C5D0B"/>
    <w:rsid w:val="001D1CD2"/>
    <w:rsid w:val="001D1F38"/>
    <w:rsid w:val="001D2EAD"/>
    <w:rsid w:val="001D5D50"/>
    <w:rsid w:val="001D5DCC"/>
    <w:rsid w:val="001E0F07"/>
    <w:rsid w:val="001E35D7"/>
    <w:rsid w:val="001E3925"/>
    <w:rsid w:val="001E5DF4"/>
    <w:rsid w:val="001E662F"/>
    <w:rsid w:val="001F0DC7"/>
    <w:rsid w:val="001F0F67"/>
    <w:rsid w:val="001F1820"/>
    <w:rsid w:val="001F1B8A"/>
    <w:rsid w:val="001F30DB"/>
    <w:rsid w:val="001F4154"/>
    <w:rsid w:val="001F4E20"/>
    <w:rsid w:val="001F590F"/>
    <w:rsid w:val="001F6BF6"/>
    <w:rsid w:val="00201581"/>
    <w:rsid w:val="00202E42"/>
    <w:rsid w:val="00205BF8"/>
    <w:rsid w:val="002065FD"/>
    <w:rsid w:val="002075ED"/>
    <w:rsid w:val="00207A57"/>
    <w:rsid w:val="00207D07"/>
    <w:rsid w:val="00210674"/>
    <w:rsid w:val="0021149B"/>
    <w:rsid w:val="00211847"/>
    <w:rsid w:val="0021355F"/>
    <w:rsid w:val="00214CA7"/>
    <w:rsid w:val="00215FD8"/>
    <w:rsid w:val="002160BC"/>
    <w:rsid w:val="00221096"/>
    <w:rsid w:val="00221431"/>
    <w:rsid w:val="00223072"/>
    <w:rsid w:val="00224240"/>
    <w:rsid w:val="00225B0C"/>
    <w:rsid w:val="00225CA7"/>
    <w:rsid w:val="00226323"/>
    <w:rsid w:val="002272E9"/>
    <w:rsid w:val="0023076B"/>
    <w:rsid w:val="00231CC8"/>
    <w:rsid w:val="00232079"/>
    <w:rsid w:val="00232FFF"/>
    <w:rsid w:val="00234EED"/>
    <w:rsid w:val="0023539C"/>
    <w:rsid w:val="00236356"/>
    <w:rsid w:val="002378C7"/>
    <w:rsid w:val="00237FBD"/>
    <w:rsid w:val="002423F6"/>
    <w:rsid w:val="00243138"/>
    <w:rsid w:val="00245234"/>
    <w:rsid w:val="00246CA9"/>
    <w:rsid w:val="00247B40"/>
    <w:rsid w:val="002501CB"/>
    <w:rsid w:val="00251717"/>
    <w:rsid w:val="00252A8A"/>
    <w:rsid w:val="0025670C"/>
    <w:rsid w:val="00257799"/>
    <w:rsid w:val="0025798F"/>
    <w:rsid w:val="00260610"/>
    <w:rsid w:val="0026096A"/>
    <w:rsid w:val="00264177"/>
    <w:rsid w:val="00265556"/>
    <w:rsid w:val="00266A6A"/>
    <w:rsid w:val="00267A50"/>
    <w:rsid w:val="002700F3"/>
    <w:rsid w:val="002713AF"/>
    <w:rsid w:val="00271587"/>
    <w:rsid w:val="00272205"/>
    <w:rsid w:val="00273F25"/>
    <w:rsid w:val="002743BC"/>
    <w:rsid w:val="0027459F"/>
    <w:rsid w:val="002750C1"/>
    <w:rsid w:val="0027765C"/>
    <w:rsid w:val="00277B6A"/>
    <w:rsid w:val="002807BF"/>
    <w:rsid w:val="002819E1"/>
    <w:rsid w:val="00282828"/>
    <w:rsid w:val="0028483B"/>
    <w:rsid w:val="00286D48"/>
    <w:rsid w:val="00287228"/>
    <w:rsid w:val="00287D52"/>
    <w:rsid w:val="00287F1C"/>
    <w:rsid w:val="00287F1E"/>
    <w:rsid w:val="00291EC6"/>
    <w:rsid w:val="0029495B"/>
    <w:rsid w:val="00295393"/>
    <w:rsid w:val="002953FA"/>
    <w:rsid w:val="00295DE2"/>
    <w:rsid w:val="00295E0C"/>
    <w:rsid w:val="002A067D"/>
    <w:rsid w:val="002A0BFB"/>
    <w:rsid w:val="002A22EC"/>
    <w:rsid w:val="002A3408"/>
    <w:rsid w:val="002A34DA"/>
    <w:rsid w:val="002A37C7"/>
    <w:rsid w:val="002A4CB9"/>
    <w:rsid w:val="002A54BC"/>
    <w:rsid w:val="002A65D7"/>
    <w:rsid w:val="002B46AF"/>
    <w:rsid w:val="002C0C3B"/>
    <w:rsid w:val="002C0FCB"/>
    <w:rsid w:val="002C22DD"/>
    <w:rsid w:val="002D151A"/>
    <w:rsid w:val="002D2AA4"/>
    <w:rsid w:val="002D2B5D"/>
    <w:rsid w:val="002D76D2"/>
    <w:rsid w:val="002D798A"/>
    <w:rsid w:val="002E0828"/>
    <w:rsid w:val="002E088D"/>
    <w:rsid w:val="002E1738"/>
    <w:rsid w:val="002E1C95"/>
    <w:rsid w:val="002E40BC"/>
    <w:rsid w:val="002E5078"/>
    <w:rsid w:val="002E5732"/>
    <w:rsid w:val="002F0717"/>
    <w:rsid w:val="002F3420"/>
    <w:rsid w:val="002F345D"/>
    <w:rsid w:val="003003CD"/>
    <w:rsid w:val="003011DE"/>
    <w:rsid w:val="00301FEA"/>
    <w:rsid w:val="003026D6"/>
    <w:rsid w:val="00303A94"/>
    <w:rsid w:val="00304797"/>
    <w:rsid w:val="0030552E"/>
    <w:rsid w:val="003055DD"/>
    <w:rsid w:val="003056AD"/>
    <w:rsid w:val="00307497"/>
    <w:rsid w:val="003127BC"/>
    <w:rsid w:val="003129D9"/>
    <w:rsid w:val="00320F6A"/>
    <w:rsid w:val="0032219C"/>
    <w:rsid w:val="003304AD"/>
    <w:rsid w:val="00330786"/>
    <w:rsid w:val="00330A2C"/>
    <w:rsid w:val="003313F5"/>
    <w:rsid w:val="0033340F"/>
    <w:rsid w:val="0033492A"/>
    <w:rsid w:val="00340AC2"/>
    <w:rsid w:val="00342329"/>
    <w:rsid w:val="00350330"/>
    <w:rsid w:val="00350D5F"/>
    <w:rsid w:val="0035227A"/>
    <w:rsid w:val="003558D6"/>
    <w:rsid w:val="00355FA5"/>
    <w:rsid w:val="00357D4E"/>
    <w:rsid w:val="00363CD6"/>
    <w:rsid w:val="003666D4"/>
    <w:rsid w:val="00366FEE"/>
    <w:rsid w:val="0037092B"/>
    <w:rsid w:val="003717D2"/>
    <w:rsid w:val="003729BB"/>
    <w:rsid w:val="00375075"/>
    <w:rsid w:val="00375DD5"/>
    <w:rsid w:val="00375FC5"/>
    <w:rsid w:val="003816B2"/>
    <w:rsid w:val="00381879"/>
    <w:rsid w:val="00381EB2"/>
    <w:rsid w:val="00382906"/>
    <w:rsid w:val="00383C23"/>
    <w:rsid w:val="00384260"/>
    <w:rsid w:val="003846C0"/>
    <w:rsid w:val="0038649C"/>
    <w:rsid w:val="00387835"/>
    <w:rsid w:val="00387967"/>
    <w:rsid w:val="00387EEF"/>
    <w:rsid w:val="0039059B"/>
    <w:rsid w:val="003911AB"/>
    <w:rsid w:val="00395A9E"/>
    <w:rsid w:val="00396B48"/>
    <w:rsid w:val="003A0953"/>
    <w:rsid w:val="003A16D1"/>
    <w:rsid w:val="003A2186"/>
    <w:rsid w:val="003A407E"/>
    <w:rsid w:val="003A5EB8"/>
    <w:rsid w:val="003B13FF"/>
    <w:rsid w:val="003B4025"/>
    <w:rsid w:val="003B4B01"/>
    <w:rsid w:val="003B6AB2"/>
    <w:rsid w:val="003B76FA"/>
    <w:rsid w:val="003C010C"/>
    <w:rsid w:val="003C47F2"/>
    <w:rsid w:val="003C58CF"/>
    <w:rsid w:val="003C58DE"/>
    <w:rsid w:val="003D08BC"/>
    <w:rsid w:val="003D1AE6"/>
    <w:rsid w:val="003D2D7C"/>
    <w:rsid w:val="003D2EE8"/>
    <w:rsid w:val="003D62D2"/>
    <w:rsid w:val="003D73A7"/>
    <w:rsid w:val="003E3908"/>
    <w:rsid w:val="003E3BDF"/>
    <w:rsid w:val="003E4188"/>
    <w:rsid w:val="003E72BE"/>
    <w:rsid w:val="003F116D"/>
    <w:rsid w:val="003F2C45"/>
    <w:rsid w:val="003F2DC6"/>
    <w:rsid w:val="003F377C"/>
    <w:rsid w:val="003F3B51"/>
    <w:rsid w:val="003F4C7E"/>
    <w:rsid w:val="003F69B5"/>
    <w:rsid w:val="00400091"/>
    <w:rsid w:val="00403997"/>
    <w:rsid w:val="00404AD0"/>
    <w:rsid w:val="00405A82"/>
    <w:rsid w:val="00411A17"/>
    <w:rsid w:val="00413A75"/>
    <w:rsid w:val="00413C06"/>
    <w:rsid w:val="00413D2B"/>
    <w:rsid w:val="004144B7"/>
    <w:rsid w:val="004178A3"/>
    <w:rsid w:val="004208EA"/>
    <w:rsid w:val="0042095B"/>
    <w:rsid w:val="00422B57"/>
    <w:rsid w:val="00425582"/>
    <w:rsid w:val="0042626F"/>
    <w:rsid w:val="0042765C"/>
    <w:rsid w:val="004316DE"/>
    <w:rsid w:val="00433EF3"/>
    <w:rsid w:val="00437537"/>
    <w:rsid w:val="00437933"/>
    <w:rsid w:val="00443C8A"/>
    <w:rsid w:val="0044521C"/>
    <w:rsid w:val="00447157"/>
    <w:rsid w:val="00447895"/>
    <w:rsid w:val="00450677"/>
    <w:rsid w:val="00450AB6"/>
    <w:rsid w:val="00451245"/>
    <w:rsid w:val="004526A9"/>
    <w:rsid w:val="004526F9"/>
    <w:rsid w:val="00452C08"/>
    <w:rsid w:val="004539D0"/>
    <w:rsid w:val="0045413B"/>
    <w:rsid w:val="004558CB"/>
    <w:rsid w:val="0045636C"/>
    <w:rsid w:val="004571EA"/>
    <w:rsid w:val="00457C77"/>
    <w:rsid w:val="004603E4"/>
    <w:rsid w:val="004605BC"/>
    <w:rsid w:val="00465BD3"/>
    <w:rsid w:val="00467B9D"/>
    <w:rsid w:val="00471145"/>
    <w:rsid w:val="00471F39"/>
    <w:rsid w:val="004727F0"/>
    <w:rsid w:val="00472D96"/>
    <w:rsid w:val="00473FAF"/>
    <w:rsid w:val="00476A57"/>
    <w:rsid w:val="004775C8"/>
    <w:rsid w:val="0048074F"/>
    <w:rsid w:val="00483356"/>
    <w:rsid w:val="0048358E"/>
    <w:rsid w:val="00494A40"/>
    <w:rsid w:val="00496BE8"/>
    <w:rsid w:val="004A0A98"/>
    <w:rsid w:val="004A11CA"/>
    <w:rsid w:val="004A1D45"/>
    <w:rsid w:val="004A20A1"/>
    <w:rsid w:val="004A255C"/>
    <w:rsid w:val="004A698F"/>
    <w:rsid w:val="004A7717"/>
    <w:rsid w:val="004B3D90"/>
    <w:rsid w:val="004B4168"/>
    <w:rsid w:val="004B5753"/>
    <w:rsid w:val="004C190B"/>
    <w:rsid w:val="004C2EE5"/>
    <w:rsid w:val="004C3885"/>
    <w:rsid w:val="004C40D3"/>
    <w:rsid w:val="004C78AF"/>
    <w:rsid w:val="004D0A49"/>
    <w:rsid w:val="004D0B74"/>
    <w:rsid w:val="004D173F"/>
    <w:rsid w:val="004D1D91"/>
    <w:rsid w:val="004D3BED"/>
    <w:rsid w:val="004D4251"/>
    <w:rsid w:val="004D7A97"/>
    <w:rsid w:val="004E1256"/>
    <w:rsid w:val="004E679E"/>
    <w:rsid w:val="004E68CB"/>
    <w:rsid w:val="004F39C2"/>
    <w:rsid w:val="004F3F26"/>
    <w:rsid w:val="004F7502"/>
    <w:rsid w:val="004F77E2"/>
    <w:rsid w:val="00500BB0"/>
    <w:rsid w:val="005026B8"/>
    <w:rsid w:val="00503703"/>
    <w:rsid w:val="00506B40"/>
    <w:rsid w:val="00510915"/>
    <w:rsid w:val="00510E3E"/>
    <w:rsid w:val="00514104"/>
    <w:rsid w:val="005152CE"/>
    <w:rsid w:val="00515329"/>
    <w:rsid w:val="00515586"/>
    <w:rsid w:val="005263A2"/>
    <w:rsid w:val="00531C6E"/>
    <w:rsid w:val="005326D2"/>
    <w:rsid w:val="00532AFC"/>
    <w:rsid w:val="0053359E"/>
    <w:rsid w:val="0053668A"/>
    <w:rsid w:val="00540097"/>
    <w:rsid w:val="00540671"/>
    <w:rsid w:val="00541D44"/>
    <w:rsid w:val="005431CC"/>
    <w:rsid w:val="00544B49"/>
    <w:rsid w:val="0054614D"/>
    <w:rsid w:val="00552D86"/>
    <w:rsid w:val="00556162"/>
    <w:rsid w:val="00557CBF"/>
    <w:rsid w:val="0056052B"/>
    <w:rsid w:val="00563A0F"/>
    <w:rsid w:val="0056413F"/>
    <w:rsid w:val="00565B0A"/>
    <w:rsid w:val="0056790E"/>
    <w:rsid w:val="0057099F"/>
    <w:rsid w:val="00571A22"/>
    <w:rsid w:val="00575756"/>
    <w:rsid w:val="0057592A"/>
    <w:rsid w:val="00577618"/>
    <w:rsid w:val="0058010F"/>
    <w:rsid w:val="00580852"/>
    <w:rsid w:val="00581F37"/>
    <w:rsid w:val="00582AA3"/>
    <w:rsid w:val="005830F8"/>
    <w:rsid w:val="00583F83"/>
    <w:rsid w:val="0058727D"/>
    <w:rsid w:val="00593070"/>
    <w:rsid w:val="005938DF"/>
    <w:rsid w:val="00597003"/>
    <w:rsid w:val="00597E43"/>
    <w:rsid w:val="00597FF6"/>
    <w:rsid w:val="005A0724"/>
    <w:rsid w:val="005A0E5D"/>
    <w:rsid w:val="005A1207"/>
    <w:rsid w:val="005A1571"/>
    <w:rsid w:val="005A1AD3"/>
    <w:rsid w:val="005A2D7D"/>
    <w:rsid w:val="005A3279"/>
    <w:rsid w:val="005A3AD5"/>
    <w:rsid w:val="005A3DBD"/>
    <w:rsid w:val="005A41DC"/>
    <w:rsid w:val="005A65AC"/>
    <w:rsid w:val="005A6804"/>
    <w:rsid w:val="005B18A7"/>
    <w:rsid w:val="005B2AEB"/>
    <w:rsid w:val="005B4DCA"/>
    <w:rsid w:val="005B4E06"/>
    <w:rsid w:val="005B688D"/>
    <w:rsid w:val="005B6F13"/>
    <w:rsid w:val="005B6FA4"/>
    <w:rsid w:val="005B7EBE"/>
    <w:rsid w:val="005C2C4D"/>
    <w:rsid w:val="005C3693"/>
    <w:rsid w:val="005C3EAE"/>
    <w:rsid w:val="005C44D9"/>
    <w:rsid w:val="005C4881"/>
    <w:rsid w:val="005C7175"/>
    <w:rsid w:val="005C79C4"/>
    <w:rsid w:val="005C7EF2"/>
    <w:rsid w:val="005D4BE5"/>
    <w:rsid w:val="005D4E42"/>
    <w:rsid w:val="005D6B06"/>
    <w:rsid w:val="005D6CF6"/>
    <w:rsid w:val="005E071F"/>
    <w:rsid w:val="005E1C9F"/>
    <w:rsid w:val="005E1D0F"/>
    <w:rsid w:val="005E5174"/>
    <w:rsid w:val="005E58F1"/>
    <w:rsid w:val="005F1E13"/>
    <w:rsid w:val="005F2617"/>
    <w:rsid w:val="005F273E"/>
    <w:rsid w:val="00602F4D"/>
    <w:rsid w:val="006054D9"/>
    <w:rsid w:val="00606AD7"/>
    <w:rsid w:val="00606DC8"/>
    <w:rsid w:val="006107D8"/>
    <w:rsid w:val="00610A88"/>
    <w:rsid w:val="00611336"/>
    <w:rsid w:val="006120F5"/>
    <w:rsid w:val="00612C1D"/>
    <w:rsid w:val="00613C86"/>
    <w:rsid w:val="00614F8A"/>
    <w:rsid w:val="006160CA"/>
    <w:rsid w:val="0061615A"/>
    <w:rsid w:val="006167C4"/>
    <w:rsid w:val="00616BA7"/>
    <w:rsid w:val="006176AF"/>
    <w:rsid w:val="00620829"/>
    <w:rsid w:val="00621C29"/>
    <w:rsid w:val="0062215C"/>
    <w:rsid w:val="006233E2"/>
    <w:rsid w:val="006235EC"/>
    <w:rsid w:val="00623804"/>
    <w:rsid w:val="0062398C"/>
    <w:rsid w:val="006273F9"/>
    <w:rsid w:val="00630FA4"/>
    <w:rsid w:val="0063308F"/>
    <w:rsid w:val="00634EEB"/>
    <w:rsid w:val="0063552B"/>
    <w:rsid w:val="00635966"/>
    <w:rsid w:val="00636096"/>
    <w:rsid w:val="00636FAD"/>
    <w:rsid w:val="00637556"/>
    <w:rsid w:val="00637EC8"/>
    <w:rsid w:val="00645AD4"/>
    <w:rsid w:val="00651F3E"/>
    <w:rsid w:val="00652BA0"/>
    <w:rsid w:val="0065331E"/>
    <w:rsid w:val="00656555"/>
    <w:rsid w:val="006578EE"/>
    <w:rsid w:val="006602E3"/>
    <w:rsid w:val="00662333"/>
    <w:rsid w:val="00662D4F"/>
    <w:rsid w:val="00662FA1"/>
    <w:rsid w:val="00663BD6"/>
    <w:rsid w:val="006661BF"/>
    <w:rsid w:val="00666891"/>
    <w:rsid w:val="00666A45"/>
    <w:rsid w:val="00673ECD"/>
    <w:rsid w:val="00674458"/>
    <w:rsid w:val="006755C4"/>
    <w:rsid w:val="006828AB"/>
    <w:rsid w:val="00685531"/>
    <w:rsid w:val="00685C00"/>
    <w:rsid w:val="00690D84"/>
    <w:rsid w:val="00690DD7"/>
    <w:rsid w:val="00691939"/>
    <w:rsid w:val="006923AF"/>
    <w:rsid w:val="006946B6"/>
    <w:rsid w:val="00694DB9"/>
    <w:rsid w:val="00696119"/>
    <w:rsid w:val="006A02F0"/>
    <w:rsid w:val="006A19E6"/>
    <w:rsid w:val="006A6358"/>
    <w:rsid w:val="006A6C2A"/>
    <w:rsid w:val="006A6D21"/>
    <w:rsid w:val="006B3B57"/>
    <w:rsid w:val="006B5362"/>
    <w:rsid w:val="006B54A9"/>
    <w:rsid w:val="006B56F3"/>
    <w:rsid w:val="006B7CCB"/>
    <w:rsid w:val="006C07AA"/>
    <w:rsid w:val="006C0F7B"/>
    <w:rsid w:val="006C3B64"/>
    <w:rsid w:val="006C416D"/>
    <w:rsid w:val="006C51D4"/>
    <w:rsid w:val="006C6B38"/>
    <w:rsid w:val="006D1524"/>
    <w:rsid w:val="006D1AE2"/>
    <w:rsid w:val="006D3189"/>
    <w:rsid w:val="006D399D"/>
    <w:rsid w:val="006D5179"/>
    <w:rsid w:val="006D549B"/>
    <w:rsid w:val="006D72B1"/>
    <w:rsid w:val="006E007F"/>
    <w:rsid w:val="006E015C"/>
    <w:rsid w:val="006E1184"/>
    <w:rsid w:val="006E387B"/>
    <w:rsid w:val="006E46D7"/>
    <w:rsid w:val="006E5C0A"/>
    <w:rsid w:val="006E6BD5"/>
    <w:rsid w:val="006F0853"/>
    <w:rsid w:val="006F1381"/>
    <w:rsid w:val="006F1523"/>
    <w:rsid w:val="006F1E72"/>
    <w:rsid w:val="006F2804"/>
    <w:rsid w:val="006F3EDE"/>
    <w:rsid w:val="006F3F31"/>
    <w:rsid w:val="006F578B"/>
    <w:rsid w:val="006F5A89"/>
    <w:rsid w:val="006F5D57"/>
    <w:rsid w:val="007016E9"/>
    <w:rsid w:val="00711AC7"/>
    <w:rsid w:val="00713257"/>
    <w:rsid w:val="00714EA0"/>
    <w:rsid w:val="00716204"/>
    <w:rsid w:val="007166B7"/>
    <w:rsid w:val="00717413"/>
    <w:rsid w:val="007204F5"/>
    <w:rsid w:val="00726D04"/>
    <w:rsid w:val="007275EA"/>
    <w:rsid w:val="00731F42"/>
    <w:rsid w:val="00732212"/>
    <w:rsid w:val="00732EA5"/>
    <w:rsid w:val="00735507"/>
    <w:rsid w:val="00736002"/>
    <w:rsid w:val="007372E0"/>
    <w:rsid w:val="00741EDB"/>
    <w:rsid w:val="00742261"/>
    <w:rsid w:val="00743748"/>
    <w:rsid w:val="00744BE7"/>
    <w:rsid w:val="00745348"/>
    <w:rsid w:val="0074669D"/>
    <w:rsid w:val="00747421"/>
    <w:rsid w:val="00750F60"/>
    <w:rsid w:val="00752669"/>
    <w:rsid w:val="00752E22"/>
    <w:rsid w:val="00753CAB"/>
    <w:rsid w:val="007548CD"/>
    <w:rsid w:val="00754F89"/>
    <w:rsid w:val="00760142"/>
    <w:rsid w:val="0076163B"/>
    <w:rsid w:val="00763EEB"/>
    <w:rsid w:val="00764FC4"/>
    <w:rsid w:val="00766F4B"/>
    <w:rsid w:val="00767086"/>
    <w:rsid w:val="00767179"/>
    <w:rsid w:val="007700A4"/>
    <w:rsid w:val="00770403"/>
    <w:rsid w:val="007704DB"/>
    <w:rsid w:val="0077309A"/>
    <w:rsid w:val="00773F1F"/>
    <w:rsid w:val="007761D8"/>
    <w:rsid w:val="00776C1D"/>
    <w:rsid w:val="00777ABC"/>
    <w:rsid w:val="00780855"/>
    <w:rsid w:val="00782078"/>
    <w:rsid w:val="007866F4"/>
    <w:rsid w:val="00786A75"/>
    <w:rsid w:val="00786A8D"/>
    <w:rsid w:val="00786B55"/>
    <w:rsid w:val="00792DCB"/>
    <w:rsid w:val="0079443F"/>
    <w:rsid w:val="007959B1"/>
    <w:rsid w:val="00797D74"/>
    <w:rsid w:val="007A0CF6"/>
    <w:rsid w:val="007A2A14"/>
    <w:rsid w:val="007A43A1"/>
    <w:rsid w:val="007A6A16"/>
    <w:rsid w:val="007A71CD"/>
    <w:rsid w:val="007B0F8F"/>
    <w:rsid w:val="007B3FD3"/>
    <w:rsid w:val="007B4044"/>
    <w:rsid w:val="007B4608"/>
    <w:rsid w:val="007B4F7D"/>
    <w:rsid w:val="007B5170"/>
    <w:rsid w:val="007B5DCB"/>
    <w:rsid w:val="007C16F4"/>
    <w:rsid w:val="007C1E9E"/>
    <w:rsid w:val="007C54A1"/>
    <w:rsid w:val="007C6302"/>
    <w:rsid w:val="007D261A"/>
    <w:rsid w:val="007D2F91"/>
    <w:rsid w:val="007D3EC4"/>
    <w:rsid w:val="007D4BDD"/>
    <w:rsid w:val="007D4F4E"/>
    <w:rsid w:val="007D5040"/>
    <w:rsid w:val="007D6BF5"/>
    <w:rsid w:val="007D7153"/>
    <w:rsid w:val="007E0BAE"/>
    <w:rsid w:val="007E25D1"/>
    <w:rsid w:val="007E523D"/>
    <w:rsid w:val="007F1A30"/>
    <w:rsid w:val="007F2550"/>
    <w:rsid w:val="007F3A25"/>
    <w:rsid w:val="007F5B10"/>
    <w:rsid w:val="007F7756"/>
    <w:rsid w:val="00801D16"/>
    <w:rsid w:val="00803037"/>
    <w:rsid w:val="00805EA6"/>
    <w:rsid w:val="00806488"/>
    <w:rsid w:val="0081170E"/>
    <w:rsid w:val="008141E0"/>
    <w:rsid w:val="008148B4"/>
    <w:rsid w:val="0081676A"/>
    <w:rsid w:val="00822464"/>
    <w:rsid w:val="00822B2B"/>
    <w:rsid w:val="00823453"/>
    <w:rsid w:val="00825608"/>
    <w:rsid w:val="00826EBC"/>
    <w:rsid w:val="0082742F"/>
    <w:rsid w:val="008314D4"/>
    <w:rsid w:val="00834C73"/>
    <w:rsid w:val="0083684F"/>
    <w:rsid w:val="00837D68"/>
    <w:rsid w:val="008402BD"/>
    <w:rsid w:val="0084391F"/>
    <w:rsid w:val="00843BC7"/>
    <w:rsid w:val="00843E22"/>
    <w:rsid w:val="008445AC"/>
    <w:rsid w:val="00851299"/>
    <w:rsid w:val="008517E5"/>
    <w:rsid w:val="0085192F"/>
    <w:rsid w:val="008565EA"/>
    <w:rsid w:val="00856F09"/>
    <w:rsid w:val="00857164"/>
    <w:rsid w:val="008604FA"/>
    <w:rsid w:val="0086246F"/>
    <w:rsid w:val="00862900"/>
    <w:rsid w:val="008645DC"/>
    <w:rsid w:val="00867FDE"/>
    <w:rsid w:val="0087175D"/>
    <w:rsid w:val="00874623"/>
    <w:rsid w:val="008753CC"/>
    <w:rsid w:val="0087586B"/>
    <w:rsid w:val="00876F35"/>
    <w:rsid w:val="0088020B"/>
    <w:rsid w:val="008816DC"/>
    <w:rsid w:val="00882172"/>
    <w:rsid w:val="0088307D"/>
    <w:rsid w:val="008835A7"/>
    <w:rsid w:val="00883D6E"/>
    <w:rsid w:val="00884536"/>
    <w:rsid w:val="008874EF"/>
    <w:rsid w:val="00887E4D"/>
    <w:rsid w:val="008908A4"/>
    <w:rsid w:val="00890F62"/>
    <w:rsid w:val="00891EC3"/>
    <w:rsid w:val="00892281"/>
    <w:rsid w:val="00892C65"/>
    <w:rsid w:val="00897361"/>
    <w:rsid w:val="008977CD"/>
    <w:rsid w:val="008A2ADD"/>
    <w:rsid w:val="008A4845"/>
    <w:rsid w:val="008A4C39"/>
    <w:rsid w:val="008A6C2C"/>
    <w:rsid w:val="008A76F2"/>
    <w:rsid w:val="008A7E00"/>
    <w:rsid w:val="008A7F38"/>
    <w:rsid w:val="008B0A2A"/>
    <w:rsid w:val="008B170E"/>
    <w:rsid w:val="008B1AA0"/>
    <w:rsid w:val="008B1DAE"/>
    <w:rsid w:val="008B20DA"/>
    <w:rsid w:val="008B5CF6"/>
    <w:rsid w:val="008B7621"/>
    <w:rsid w:val="008C1EE9"/>
    <w:rsid w:val="008C2D67"/>
    <w:rsid w:val="008C4847"/>
    <w:rsid w:val="008C4ED4"/>
    <w:rsid w:val="008C5197"/>
    <w:rsid w:val="008C5C48"/>
    <w:rsid w:val="008C6426"/>
    <w:rsid w:val="008C6D57"/>
    <w:rsid w:val="008C7691"/>
    <w:rsid w:val="008C77DC"/>
    <w:rsid w:val="008D0E77"/>
    <w:rsid w:val="008D12FC"/>
    <w:rsid w:val="008D1D67"/>
    <w:rsid w:val="008D4351"/>
    <w:rsid w:val="008D52BD"/>
    <w:rsid w:val="008D7034"/>
    <w:rsid w:val="008D763E"/>
    <w:rsid w:val="008D7EA6"/>
    <w:rsid w:val="008E0AC3"/>
    <w:rsid w:val="008E2B25"/>
    <w:rsid w:val="008E3C88"/>
    <w:rsid w:val="008E48A1"/>
    <w:rsid w:val="008E60EA"/>
    <w:rsid w:val="008E6470"/>
    <w:rsid w:val="008F6B9D"/>
    <w:rsid w:val="008F72DE"/>
    <w:rsid w:val="0090006A"/>
    <w:rsid w:val="00902A47"/>
    <w:rsid w:val="0090314B"/>
    <w:rsid w:val="00903453"/>
    <w:rsid w:val="0090427B"/>
    <w:rsid w:val="00905681"/>
    <w:rsid w:val="00906243"/>
    <w:rsid w:val="00906A56"/>
    <w:rsid w:val="00911635"/>
    <w:rsid w:val="00912868"/>
    <w:rsid w:val="00917CFA"/>
    <w:rsid w:val="00924AEC"/>
    <w:rsid w:val="00924E4F"/>
    <w:rsid w:val="00925F1E"/>
    <w:rsid w:val="009268AA"/>
    <w:rsid w:val="009269EC"/>
    <w:rsid w:val="00926AE2"/>
    <w:rsid w:val="00927775"/>
    <w:rsid w:val="00927BA2"/>
    <w:rsid w:val="0093003B"/>
    <w:rsid w:val="00933218"/>
    <w:rsid w:val="00934C13"/>
    <w:rsid w:val="00937240"/>
    <w:rsid w:val="0094269D"/>
    <w:rsid w:val="009426A4"/>
    <w:rsid w:val="00943DEF"/>
    <w:rsid w:val="00945232"/>
    <w:rsid w:val="00945BD3"/>
    <w:rsid w:val="009475CE"/>
    <w:rsid w:val="009515B9"/>
    <w:rsid w:val="00951ABD"/>
    <w:rsid w:val="0095210A"/>
    <w:rsid w:val="009551F0"/>
    <w:rsid w:val="00955626"/>
    <w:rsid w:val="0095571A"/>
    <w:rsid w:val="00955828"/>
    <w:rsid w:val="00956BFC"/>
    <w:rsid w:val="009611B8"/>
    <w:rsid w:val="0096128D"/>
    <w:rsid w:val="0096167E"/>
    <w:rsid w:val="0096490F"/>
    <w:rsid w:val="00964DB9"/>
    <w:rsid w:val="009658AF"/>
    <w:rsid w:val="00966699"/>
    <w:rsid w:val="00970D4B"/>
    <w:rsid w:val="0098169E"/>
    <w:rsid w:val="0098542B"/>
    <w:rsid w:val="00985931"/>
    <w:rsid w:val="00987270"/>
    <w:rsid w:val="009908A1"/>
    <w:rsid w:val="009964F6"/>
    <w:rsid w:val="0099726D"/>
    <w:rsid w:val="009A01DD"/>
    <w:rsid w:val="009A10E6"/>
    <w:rsid w:val="009A1E7C"/>
    <w:rsid w:val="009A28A1"/>
    <w:rsid w:val="009A2F4D"/>
    <w:rsid w:val="009A52B4"/>
    <w:rsid w:val="009A6B8D"/>
    <w:rsid w:val="009B00C4"/>
    <w:rsid w:val="009B38CD"/>
    <w:rsid w:val="009B5E0B"/>
    <w:rsid w:val="009B6A61"/>
    <w:rsid w:val="009B71C7"/>
    <w:rsid w:val="009C1727"/>
    <w:rsid w:val="009C456B"/>
    <w:rsid w:val="009C57F3"/>
    <w:rsid w:val="009D157E"/>
    <w:rsid w:val="009D2121"/>
    <w:rsid w:val="009D2B71"/>
    <w:rsid w:val="009D4405"/>
    <w:rsid w:val="009D7557"/>
    <w:rsid w:val="009E01E9"/>
    <w:rsid w:val="009E1527"/>
    <w:rsid w:val="009E3A1A"/>
    <w:rsid w:val="009E78B6"/>
    <w:rsid w:val="009E795C"/>
    <w:rsid w:val="009F07A4"/>
    <w:rsid w:val="009F404C"/>
    <w:rsid w:val="009F7F9F"/>
    <w:rsid w:val="00A025F0"/>
    <w:rsid w:val="00A02C7E"/>
    <w:rsid w:val="00A033C1"/>
    <w:rsid w:val="00A0365F"/>
    <w:rsid w:val="00A040B8"/>
    <w:rsid w:val="00A058B7"/>
    <w:rsid w:val="00A07B26"/>
    <w:rsid w:val="00A10988"/>
    <w:rsid w:val="00A13EDF"/>
    <w:rsid w:val="00A155C4"/>
    <w:rsid w:val="00A16D13"/>
    <w:rsid w:val="00A16D54"/>
    <w:rsid w:val="00A206A1"/>
    <w:rsid w:val="00A21B05"/>
    <w:rsid w:val="00A23A6E"/>
    <w:rsid w:val="00A2517C"/>
    <w:rsid w:val="00A26BE2"/>
    <w:rsid w:val="00A2782F"/>
    <w:rsid w:val="00A27CA7"/>
    <w:rsid w:val="00A35AE5"/>
    <w:rsid w:val="00A36836"/>
    <w:rsid w:val="00A36BBE"/>
    <w:rsid w:val="00A414DC"/>
    <w:rsid w:val="00A45940"/>
    <w:rsid w:val="00A45C4E"/>
    <w:rsid w:val="00A466BD"/>
    <w:rsid w:val="00A47B8E"/>
    <w:rsid w:val="00A47E81"/>
    <w:rsid w:val="00A50293"/>
    <w:rsid w:val="00A51FB5"/>
    <w:rsid w:val="00A54BF6"/>
    <w:rsid w:val="00A55315"/>
    <w:rsid w:val="00A57BF7"/>
    <w:rsid w:val="00A6042E"/>
    <w:rsid w:val="00A60E9A"/>
    <w:rsid w:val="00A65692"/>
    <w:rsid w:val="00A6711A"/>
    <w:rsid w:val="00A6742F"/>
    <w:rsid w:val="00A67C0C"/>
    <w:rsid w:val="00A7024F"/>
    <w:rsid w:val="00A70581"/>
    <w:rsid w:val="00A740B8"/>
    <w:rsid w:val="00A76C05"/>
    <w:rsid w:val="00A80AC4"/>
    <w:rsid w:val="00A81829"/>
    <w:rsid w:val="00A83B8B"/>
    <w:rsid w:val="00A83D2B"/>
    <w:rsid w:val="00A85721"/>
    <w:rsid w:val="00A875EE"/>
    <w:rsid w:val="00A87D53"/>
    <w:rsid w:val="00A917EF"/>
    <w:rsid w:val="00A91E9C"/>
    <w:rsid w:val="00A935C7"/>
    <w:rsid w:val="00A93D92"/>
    <w:rsid w:val="00A94A76"/>
    <w:rsid w:val="00A97D8E"/>
    <w:rsid w:val="00AA1919"/>
    <w:rsid w:val="00AA1CBA"/>
    <w:rsid w:val="00AA2B09"/>
    <w:rsid w:val="00AA4582"/>
    <w:rsid w:val="00AA6482"/>
    <w:rsid w:val="00AA69F8"/>
    <w:rsid w:val="00AA6FBF"/>
    <w:rsid w:val="00AB0343"/>
    <w:rsid w:val="00AB07C4"/>
    <w:rsid w:val="00AB1638"/>
    <w:rsid w:val="00AB1B0A"/>
    <w:rsid w:val="00AB1C84"/>
    <w:rsid w:val="00AB3015"/>
    <w:rsid w:val="00AB3493"/>
    <w:rsid w:val="00AB3B21"/>
    <w:rsid w:val="00AB5112"/>
    <w:rsid w:val="00AC1701"/>
    <w:rsid w:val="00AC2B1F"/>
    <w:rsid w:val="00AC39CB"/>
    <w:rsid w:val="00AC5D4D"/>
    <w:rsid w:val="00AC7924"/>
    <w:rsid w:val="00AC7E3E"/>
    <w:rsid w:val="00AC7F01"/>
    <w:rsid w:val="00AD0151"/>
    <w:rsid w:val="00AD1D09"/>
    <w:rsid w:val="00AD53FE"/>
    <w:rsid w:val="00AD77A2"/>
    <w:rsid w:val="00AE2678"/>
    <w:rsid w:val="00AE3BC8"/>
    <w:rsid w:val="00AE416C"/>
    <w:rsid w:val="00AE631B"/>
    <w:rsid w:val="00AE780C"/>
    <w:rsid w:val="00AF47A0"/>
    <w:rsid w:val="00B014BB"/>
    <w:rsid w:val="00B02DF3"/>
    <w:rsid w:val="00B03750"/>
    <w:rsid w:val="00B038DE"/>
    <w:rsid w:val="00B04DAC"/>
    <w:rsid w:val="00B04E23"/>
    <w:rsid w:val="00B054D4"/>
    <w:rsid w:val="00B06F30"/>
    <w:rsid w:val="00B06F79"/>
    <w:rsid w:val="00B11512"/>
    <w:rsid w:val="00B11E49"/>
    <w:rsid w:val="00B122B4"/>
    <w:rsid w:val="00B151E2"/>
    <w:rsid w:val="00B1757C"/>
    <w:rsid w:val="00B213B5"/>
    <w:rsid w:val="00B22856"/>
    <w:rsid w:val="00B24930"/>
    <w:rsid w:val="00B25586"/>
    <w:rsid w:val="00B27754"/>
    <w:rsid w:val="00B277FB"/>
    <w:rsid w:val="00B301CF"/>
    <w:rsid w:val="00B3089C"/>
    <w:rsid w:val="00B34D3E"/>
    <w:rsid w:val="00B350A4"/>
    <w:rsid w:val="00B352BC"/>
    <w:rsid w:val="00B3555A"/>
    <w:rsid w:val="00B365F8"/>
    <w:rsid w:val="00B36641"/>
    <w:rsid w:val="00B40CC6"/>
    <w:rsid w:val="00B43243"/>
    <w:rsid w:val="00B437D3"/>
    <w:rsid w:val="00B45D2B"/>
    <w:rsid w:val="00B46999"/>
    <w:rsid w:val="00B46F90"/>
    <w:rsid w:val="00B47028"/>
    <w:rsid w:val="00B507AC"/>
    <w:rsid w:val="00B525F6"/>
    <w:rsid w:val="00B53E32"/>
    <w:rsid w:val="00B56B4D"/>
    <w:rsid w:val="00B61213"/>
    <w:rsid w:val="00B6190A"/>
    <w:rsid w:val="00B62FFF"/>
    <w:rsid w:val="00B71983"/>
    <w:rsid w:val="00B75F3E"/>
    <w:rsid w:val="00B769C9"/>
    <w:rsid w:val="00B77161"/>
    <w:rsid w:val="00B804CF"/>
    <w:rsid w:val="00B83B13"/>
    <w:rsid w:val="00B87C22"/>
    <w:rsid w:val="00B9274D"/>
    <w:rsid w:val="00B93FF0"/>
    <w:rsid w:val="00B95A3B"/>
    <w:rsid w:val="00B97B6E"/>
    <w:rsid w:val="00BA09CA"/>
    <w:rsid w:val="00BA0A68"/>
    <w:rsid w:val="00BA0E61"/>
    <w:rsid w:val="00BA1849"/>
    <w:rsid w:val="00BA1ACC"/>
    <w:rsid w:val="00BA2013"/>
    <w:rsid w:val="00BA2132"/>
    <w:rsid w:val="00BA4655"/>
    <w:rsid w:val="00BA4D3D"/>
    <w:rsid w:val="00BA5564"/>
    <w:rsid w:val="00BA6226"/>
    <w:rsid w:val="00BB19BA"/>
    <w:rsid w:val="00BB35F3"/>
    <w:rsid w:val="00BB3C92"/>
    <w:rsid w:val="00BB582F"/>
    <w:rsid w:val="00BB6284"/>
    <w:rsid w:val="00BB658B"/>
    <w:rsid w:val="00BC1003"/>
    <w:rsid w:val="00BC173E"/>
    <w:rsid w:val="00BC2432"/>
    <w:rsid w:val="00BC61C7"/>
    <w:rsid w:val="00BC6B6B"/>
    <w:rsid w:val="00BC6C1D"/>
    <w:rsid w:val="00BC734A"/>
    <w:rsid w:val="00BD1A53"/>
    <w:rsid w:val="00BD1B24"/>
    <w:rsid w:val="00BD38BE"/>
    <w:rsid w:val="00BE204C"/>
    <w:rsid w:val="00BE3DC6"/>
    <w:rsid w:val="00BE4F04"/>
    <w:rsid w:val="00BE6AD4"/>
    <w:rsid w:val="00BE797A"/>
    <w:rsid w:val="00BE7FFC"/>
    <w:rsid w:val="00BF013C"/>
    <w:rsid w:val="00BF34B0"/>
    <w:rsid w:val="00BF4E92"/>
    <w:rsid w:val="00BF5D04"/>
    <w:rsid w:val="00BF76C1"/>
    <w:rsid w:val="00C00059"/>
    <w:rsid w:val="00C00490"/>
    <w:rsid w:val="00C00FDB"/>
    <w:rsid w:val="00C01F15"/>
    <w:rsid w:val="00C04233"/>
    <w:rsid w:val="00C06BBD"/>
    <w:rsid w:val="00C0735F"/>
    <w:rsid w:val="00C11CDC"/>
    <w:rsid w:val="00C1227A"/>
    <w:rsid w:val="00C146D7"/>
    <w:rsid w:val="00C14BA7"/>
    <w:rsid w:val="00C1502B"/>
    <w:rsid w:val="00C15E1B"/>
    <w:rsid w:val="00C168A3"/>
    <w:rsid w:val="00C17279"/>
    <w:rsid w:val="00C176D2"/>
    <w:rsid w:val="00C1798B"/>
    <w:rsid w:val="00C2110D"/>
    <w:rsid w:val="00C222EC"/>
    <w:rsid w:val="00C3195D"/>
    <w:rsid w:val="00C31C29"/>
    <w:rsid w:val="00C328D5"/>
    <w:rsid w:val="00C32E66"/>
    <w:rsid w:val="00C36AF0"/>
    <w:rsid w:val="00C40150"/>
    <w:rsid w:val="00C4062B"/>
    <w:rsid w:val="00C411BA"/>
    <w:rsid w:val="00C4293A"/>
    <w:rsid w:val="00C43AB8"/>
    <w:rsid w:val="00C45F1E"/>
    <w:rsid w:val="00C46EAF"/>
    <w:rsid w:val="00C542B0"/>
    <w:rsid w:val="00C6434B"/>
    <w:rsid w:val="00C67564"/>
    <w:rsid w:val="00C678C4"/>
    <w:rsid w:val="00C70625"/>
    <w:rsid w:val="00C7169B"/>
    <w:rsid w:val="00C716C7"/>
    <w:rsid w:val="00C742A4"/>
    <w:rsid w:val="00C749B3"/>
    <w:rsid w:val="00C75130"/>
    <w:rsid w:val="00C754B3"/>
    <w:rsid w:val="00C77E11"/>
    <w:rsid w:val="00C80915"/>
    <w:rsid w:val="00C81D06"/>
    <w:rsid w:val="00C83BC2"/>
    <w:rsid w:val="00C847A4"/>
    <w:rsid w:val="00C84AEA"/>
    <w:rsid w:val="00C85370"/>
    <w:rsid w:val="00C925BD"/>
    <w:rsid w:val="00C96930"/>
    <w:rsid w:val="00C97CDA"/>
    <w:rsid w:val="00CA0D09"/>
    <w:rsid w:val="00CA1CF8"/>
    <w:rsid w:val="00CA3672"/>
    <w:rsid w:val="00CA3F40"/>
    <w:rsid w:val="00CA453F"/>
    <w:rsid w:val="00CA5CBE"/>
    <w:rsid w:val="00CA66D9"/>
    <w:rsid w:val="00CB0A1D"/>
    <w:rsid w:val="00CB0EF6"/>
    <w:rsid w:val="00CB3153"/>
    <w:rsid w:val="00CB3425"/>
    <w:rsid w:val="00CB3AD5"/>
    <w:rsid w:val="00CB4397"/>
    <w:rsid w:val="00CB48FC"/>
    <w:rsid w:val="00CC083C"/>
    <w:rsid w:val="00CC0E93"/>
    <w:rsid w:val="00CC15B4"/>
    <w:rsid w:val="00CC31AB"/>
    <w:rsid w:val="00CC5E56"/>
    <w:rsid w:val="00CC6079"/>
    <w:rsid w:val="00CC6B3E"/>
    <w:rsid w:val="00CD2A06"/>
    <w:rsid w:val="00CD4A96"/>
    <w:rsid w:val="00CD4FF0"/>
    <w:rsid w:val="00CD5AFE"/>
    <w:rsid w:val="00CD5E92"/>
    <w:rsid w:val="00CD62CB"/>
    <w:rsid w:val="00CD74E8"/>
    <w:rsid w:val="00CE1368"/>
    <w:rsid w:val="00CE1AC6"/>
    <w:rsid w:val="00CE769C"/>
    <w:rsid w:val="00CE794C"/>
    <w:rsid w:val="00CF09A9"/>
    <w:rsid w:val="00CF0CE8"/>
    <w:rsid w:val="00CF10C5"/>
    <w:rsid w:val="00CF14AC"/>
    <w:rsid w:val="00CF177F"/>
    <w:rsid w:val="00CF2E3A"/>
    <w:rsid w:val="00CF3DA2"/>
    <w:rsid w:val="00CF4298"/>
    <w:rsid w:val="00CF42FC"/>
    <w:rsid w:val="00CF4CE5"/>
    <w:rsid w:val="00CF7B63"/>
    <w:rsid w:val="00CF7C84"/>
    <w:rsid w:val="00CF7CE7"/>
    <w:rsid w:val="00D06264"/>
    <w:rsid w:val="00D06456"/>
    <w:rsid w:val="00D0786F"/>
    <w:rsid w:val="00D0795D"/>
    <w:rsid w:val="00D13F33"/>
    <w:rsid w:val="00D1711C"/>
    <w:rsid w:val="00D176CF"/>
    <w:rsid w:val="00D17BB2"/>
    <w:rsid w:val="00D20946"/>
    <w:rsid w:val="00D20D51"/>
    <w:rsid w:val="00D215AE"/>
    <w:rsid w:val="00D2639E"/>
    <w:rsid w:val="00D2650D"/>
    <w:rsid w:val="00D27B78"/>
    <w:rsid w:val="00D333C8"/>
    <w:rsid w:val="00D355CC"/>
    <w:rsid w:val="00D35E15"/>
    <w:rsid w:val="00D36C43"/>
    <w:rsid w:val="00D36E9A"/>
    <w:rsid w:val="00D37E14"/>
    <w:rsid w:val="00D40660"/>
    <w:rsid w:val="00D41841"/>
    <w:rsid w:val="00D42ECA"/>
    <w:rsid w:val="00D43D9F"/>
    <w:rsid w:val="00D46443"/>
    <w:rsid w:val="00D46705"/>
    <w:rsid w:val="00D47893"/>
    <w:rsid w:val="00D514A5"/>
    <w:rsid w:val="00D515A2"/>
    <w:rsid w:val="00D52069"/>
    <w:rsid w:val="00D53ED2"/>
    <w:rsid w:val="00D540E3"/>
    <w:rsid w:val="00D54156"/>
    <w:rsid w:val="00D552F9"/>
    <w:rsid w:val="00D55CB9"/>
    <w:rsid w:val="00D6143C"/>
    <w:rsid w:val="00D673D2"/>
    <w:rsid w:val="00D70024"/>
    <w:rsid w:val="00D70711"/>
    <w:rsid w:val="00D7087C"/>
    <w:rsid w:val="00D72C88"/>
    <w:rsid w:val="00D7343D"/>
    <w:rsid w:val="00D75C04"/>
    <w:rsid w:val="00D81D9E"/>
    <w:rsid w:val="00D847F3"/>
    <w:rsid w:val="00D84B40"/>
    <w:rsid w:val="00D87166"/>
    <w:rsid w:val="00D90157"/>
    <w:rsid w:val="00D92724"/>
    <w:rsid w:val="00D930A3"/>
    <w:rsid w:val="00D95FD2"/>
    <w:rsid w:val="00D97880"/>
    <w:rsid w:val="00DA146A"/>
    <w:rsid w:val="00DA15DF"/>
    <w:rsid w:val="00DA165B"/>
    <w:rsid w:val="00DA33D5"/>
    <w:rsid w:val="00DA42C8"/>
    <w:rsid w:val="00DA5433"/>
    <w:rsid w:val="00DB062E"/>
    <w:rsid w:val="00DB0AA2"/>
    <w:rsid w:val="00DB195F"/>
    <w:rsid w:val="00DB2891"/>
    <w:rsid w:val="00DB4C74"/>
    <w:rsid w:val="00DB4FBD"/>
    <w:rsid w:val="00DB6FC0"/>
    <w:rsid w:val="00DB753B"/>
    <w:rsid w:val="00DC01AE"/>
    <w:rsid w:val="00DC06BD"/>
    <w:rsid w:val="00DC0CF4"/>
    <w:rsid w:val="00DC0EF1"/>
    <w:rsid w:val="00DC155E"/>
    <w:rsid w:val="00DC225C"/>
    <w:rsid w:val="00DC4132"/>
    <w:rsid w:val="00DC4B2D"/>
    <w:rsid w:val="00DC558E"/>
    <w:rsid w:val="00DC7368"/>
    <w:rsid w:val="00DC7936"/>
    <w:rsid w:val="00DD4205"/>
    <w:rsid w:val="00DD4C42"/>
    <w:rsid w:val="00DD5653"/>
    <w:rsid w:val="00DE0011"/>
    <w:rsid w:val="00DE118C"/>
    <w:rsid w:val="00DE2DBF"/>
    <w:rsid w:val="00DE40E4"/>
    <w:rsid w:val="00DE471F"/>
    <w:rsid w:val="00DE7233"/>
    <w:rsid w:val="00DF1CAE"/>
    <w:rsid w:val="00DF1EFE"/>
    <w:rsid w:val="00DF2EB4"/>
    <w:rsid w:val="00DF51FA"/>
    <w:rsid w:val="00E00DD3"/>
    <w:rsid w:val="00E02563"/>
    <w:rsid w:val="00E0375E"/>
    <w:rsid w:val="00E03AB4"/>
    <w:rsid w:val="00E042D9"/>
    <w:rsid w:val="00E050F6"/>
    <w:rsid w:val="00E05C22"/>
    <w:rsid w:val="00E106FD"/>
    <w:rsid w:val="00E1100B"/>
    <w:rsid w:val="00E1152C"/>
    <w:rsid w:val="00E13507"/>
    <w:rsid w:val="00E13D8E"/>
    <w:rsid w:val="00E16719"/>
    <w:rsid w:val="00E17B1C"/>
    <w:rsid w:val="00E17BEC"/>
    <w:rsid w:val="00E20805"/>
    <w:rsid w:val="00E22B2A"/>
    <w:rsid w:val="00E259A2"/>
    <w:rsid w:val="00E27037"/>
    <w:rsid w:val="00E311BF"/>
    <w:rsid w:val="00E34A85"/>
    <w:rsid w:val="00E35654"/>
    <w:rsid w:val="00E37D02"/>
    <w:rsid w:val="00E42019"/>
    <w:rsid w:val="00E43A7B"/>
    <w:rsid w:val="00E44658"/>
    <w:rsid w:val="00E453B7"/>
    <w:rsid w:val="00E462AC"/>
    <w:rsid w:val="00E47F09"/>
    <w:rsid w:val="00E5066B"/>
    <w:rsid w:val="00E51EA9"/>
    <w:rsid w:val="00E535A2"/>
    <w:rsid w:val="00E54A6B"/>
    <w:rsid w:val="00E5518D"/>
    <w:rsid w:val="00E557AB"/>
    <w:rsid w:val="00E626E8"/>
    <w:rsid w:val="00E645B7"/>
    <w:rsid w:val="00E64A06"/>
    <w:rsid w:val="00E67A5C"/>
    <w:rsid w:val="00E7155C"/>
    <w:rsid w:val="00E72A56"/>
    <w:rsid w:val="00E762C0"/>
    <w:rsid w:val="00E769AE"/>
    <w:rsid w:val="00E821E5"/>
    <w:rsid w:val="00E83C4F"/>
    <w:rsid w:val="00E84026"/>
    <w:rsid w:val="00E85835"/>
    <w:rsid w:val="00E861D2"/>
    <w:rsid w:val="00E87E46"/>
    <w:rsid w:val="00E921F4"/>
    <w:rsid w:val="00E922BD"/>
    <w:rsid w:val="00E931FD"/>
    <w:rsid w:val="00E9617D"/>
    <w:rsid w:val="00E966CF"/>
    <w:rsid w:val="00EA0C3E"/>
    <w:rsid w:val="00EA5E23"/>
    <w:rsid w:val="00EA76CF"/>
    <w:rsid w:val="00EB21D1"/>
    <w:rsid w:val="00EB34DE"/>
    <w:rsid w:val="00EB5C34"/>
    <w:rsid w:val="00EB6BDC"/>
    <w:rsid w:val="00EB764B"/>
    <w:rsid w:val="00EC1CB9"/>
    <w:rsid w:val="00EC754C"/>
    <w:rsid w:val="00ED0B92"/>
    <w:rsid w:val="00ED18E2"/>
    <w:rsid w:val="00ED44D3"/>
    <w:rsid w:val="00ED4512"/>
    <w:rsid w:val="00ED63A5"/>
    <w:rsid w:val="00ED6631"/>
    <w:rsid w:val="00ED706B"/>
    <w:rsid w:val="00ED708B"/>
    <w:rsid w:val="00ED79A5"/>
    <w:rsid w:val="00EE15F8"/>
    <w:rsid w:val="00EE2ECA"/>
    <w:rsid w:val="00EE48E6"/>
    <w:rsid w:val="00EE61EB"/>
    <w:rsid w:val="00EF14DD"/>
    <w:rsid w:val="00F002DE"/>
    <w:rsid w:val="00F02963"/>
    <w:rsid w:val="00F031DC"/>
    <w:rsid w:val="00F03A04"/>
    <w:rsid w:val="00F05849"/>
    <w:rsid w:val="00F06839"/>
    <w:rsid w:val="00F06B72"/>
    <w:rsid w:val="00F079A9"/>
    <w:rsid w:val="00F10CF4"/>
    <w:rsid w:val="00F13AB7"/>
    <w:rsid w:val="00F15FC3"/>
    <w:rsid w:val="00F16482"/>
    <w:rsid w:val="00F16563"/>
    <w:rsid w:val="00F166E2"/>
    <w:rsid w:val="00F20534"/>
    <w:rsid w:val="00F22091"/>
    <w:rsid w:val="00F22AB7"/>
    <w:rsid w:val="00F24148"/>
    <w:rsid w:val="00F24CA7"/>
    <w:rsid w:val="00F25F55"/>
    <w:rsid w:val="00F27308"/>
    <w:rsid w:val="00F32094"/>
    <w:rsid w:val="00F33EDA"/>
    <w:rsid w:val="00F35D35"/>
    <w:rsid w:val="00F406AB"/>
    <w:rsid w:val="00F43059"/>
    <w:rsid w:val="00F43935"/>
    <w:rsid w:val="00F45607"/>
    <w:rsid w:val="00F45C50"/>
    <w:rsid w:val="00F47BAF"/>
    <w:rsid w:val="00F522E8"/>
    <w:rsid w:val="00F5286A"/>
    <w:rsid w:val="00F52B00"/>
    <w:rsid w:val="00F52C97"/>
    <w:rsid w:val="00F54B6D"/>
    <w:rsid w:val="00F550E3"/>
    <w:rsid w:val="00F5550B"/>
    <w:rsid w:val="00F57353"/>
    <w:rsid w:val="00F61744"/>
    <w:rsid w:val="00F636D6"/>
    <w:rsid w:val="00F6534C"/>
    <w:rsid w:val="00F65D8E"/>
    <w:rsid w:val="00F70D8E"/>
    <w:rsid w:val="00F7781E"/>
    <w:rsid w:val="00F77B53"/>
    <w:rsid w:val="00F818F7"/>
    <w:rsid w:val="00F81D4F"/>
    <w:rsid w:val="00F87C4D"/>
    <w:rsid w:val="00F904E6"/>
    <w:rsid w:val="00F90C4F"/>
    <w:rsid w:val="00F91117"/>
    <w:rsid w:val="00F91412"/>
    <w:rsid w:val="00F91428"/>
    <w:rsid w:val="00F93A57"/>
    <w:rsid w:val="00F94F1A"/>
    <w:rsid w:val="00F95ACE"/>
    <w:rsid w:val="00F961D4"/>
    <w:rsid w:val="00F962AF"/>
    <w:rsid w:val="00F96DAD"/>
    <w:rsid w:val="00F97CF3"/>
    <w:rsid w:val="00FA0639"/>
    <w:rsid w:val="00FA0841"/>
    <w:rsid w:val="00FA1028"/>
    <w:rsid w:val="00FA1242"/>
    <w:rsid w:val="00FA1578"/>
    <w:rsid w:val="00FA52A5"/>
    <w:rsid w:val="00FA7820"/>
    <w:rsid w:val="00FA7B90"/>
    <w:rsid w:val="00FB30EE"/>
    <w:rsid w:val="00FB6082"/>
    <w:rsid w:val="00FB6906"/>
    <w:rsid w:val="00FC5837"/>
    <w:rsid w:val="00FC6338"/>
    <w:rsid w:val="00FC6CEB"/>
    <w:rsid w:val="00FC6EFB"/>
    <w:rsid w:val="00FD0609"/>
    <w:rsid w:val="00FD1151"/>
    <w:rsid w:val="00FD41CA"/>
    <w:rsid w:val="00FE03AD"/>
    <w:rsid w:val="00FE1883"/>
    <w:rsid w:val="00FE1915"/>
    <w:rsid w:val="00FE1A0A"/>
    <w:rsid w:val="00FE351F"/>
    <w:rsid w:val="00FE482A"/>
    <w:rsid w:val="00FE4A41"/>
    <w:rsid w:val="00FE7879"/>
    <w:rsid w:val="00FE7C12"/>
    <w:rsid w:val="00FF1C80"/>
    <w:rsid w:val="00FF4508"/>
    <w:rsid w:val="00FF47CE"/>
    <w:rsid w:val="00FF78BB"/>
    <w:rsid w:val="00FF7A9D"/>
    <w:rsid w:val="015B6E7D"/>
    <w:rsid w:val="01BD547A"/>
    <w:rsid w:val="030D62E4"/>
    <w:rsid w:val="04453FEB"/>
    <w:rsid w:val="04932B84"/>
    <w:rsid w:val="05812C41"/>
    <w:rsid w:val="059E2CB2"/>
    <w:rsid w:val="05D439D4"/>
    <w:rsid w:val="05EB4A95"/>
    <w:rsid w:val="09354355"/>
    <w:rsid w:val="09DE1113"/>
    <w:rsid w:val="0A5E48EB"/>
    <w:rsid w:val="0A7056C4"/>
    <w:rsid w:val="0B681C31"/>
    <w:rsid w:val="0B6D40B2"/>
    <w:rsid w:val="0B9B6FB7"/>
    <w:rsid w:val="105A67D2"/>
    <w:rsid w:val="10C36E59"/>
    <w:rsid w:val="119F3FF1"/>
    <w:rsid w:val="13684A00"/>
    <w:rsid w:val="1640468A"/>
    <w:rsid w:val="1A567A70"/>
    <w:rsid w:val="1BB8187E"/>
    <w:rsid w:val="1D7A65B0"/>
    <w:rsid w:val="1E2B3B2E"/>
    <w:rsid w:val="1E9D3C6C"/>
    <w:rsid w:val="211C179A"/>
    <w:rsid w:val="24B038BE"/>
    <w:rsid w:val="25F17E1B"/>
    <w:rsid w:val="25F422DA"/>
    <w:rsid w:val="264C0475"/>
    <w:rsid w:val="27146F4A"/>
    <w:rsid w:val="271B2B57"/>
    <w:rsid w:val="28985227"/>
    <w:rsid w:val="2CA67498"/>
    <w:rsid w:val="2DF4626A"/>
    <w:rsid w:val="2F993783"/>
    <w:rsid w:val="2FAF7F32"/>
    <w:rsid w:val="305234D2"/>
    <w:rsid w:val="30F320D4"/>
    <w:rsid w:val="31806D66"/>
    <w:rsid w:val="336F189A"/>
    <w:rsid w:val="34614864"/>
    <w:rsid w:val="349E6BB5"/>
    <w:rsid w:val="354E216A"/>
    <w:rsid w:val="35E75CDE"/>
    <w:rsid w:val="365711F8"/>
    <w:rsid w:val="37A46433"/>
    <w:rsid w:val="3AAB7938"/>
    <w:rsid w:val="3AD71CF4"/>
    <w:rsid w:val="3C137EFE"/>
    <w:rsid w:val="3D247335"/>
    <w:rsid w:val="3DEF695A"/>
    <w:rsid w:val="3E183DBE"/>
    <w:rsid w:val="3EEB099F"/>
    <w:rsid w:val="423F4D51"/>
    <w:rsid w:val="42F8200C"/>
    <w:rsid w:val="4326679B"/>
    <w:rsid w:val="43CA5A8C"/>
    <w:rsid w:val="453D5F14"/>
    <w:rsid w:val="46307B71"/>
    <w:rsid w:val="49081B4B"/>
    <w:rsid w:val="494D0390"/>
    <w:rsid w:val="49A72EA3"/>
    <w:rsid w:val="4C9D2173"/>
    <w:rsid w:val="4D5B11B4"/>
    <w:rsid w:val="4E9850B7"/>
    <w:rsid w:val="50071FF1"/>
    <w:rsid w:val="50E1581B"/>
    <w:rsid w:val="58026E3D"/>
    <w:rsid w:val="58026F88"/>
    <w:rsid w:val="59040061"/>
    <w:rsid w:val="5AE57294"/>
    <w:rsid w:val="5BDD3F04"/>
    <w:rsid w:val="5C3A1F84"/>
    <w:rsid w:val="5D966E29"/>
    <w:rsid w:val="5F211737"/>
    <w:rsid w:val="61681320"/>
    <w:rsid w:val="63AA37DB"/>
    <w:rsid w:val="64BC6311"/>
    <w:rsid w:val="65452F26"/>
    <w:rsid w:val="659528F4"/>
    <w:rsid w:val="67D46583"/>
    <w:rsid w:val="684509AA"/>
    <w:rsid w:val="691034EB"/>
    <w:rsid w:val="694B75B8"/>
    <w:rsid w:val="6B6D4571"/>
    <w:rsid w:val="6B8C25B6"/>
    <w:rsid w:val="6CF22540"/>
    <w:rsid w:val="6F183ECA"/>
    <w:rsid w:val="6FF52AD3"/>
    <w:rsid w:val="70B26458"/>
    <w:rsid w:val="712F3C42"/>
    <w:rsid w:val="739A3E4D"/>
    <w:rsid w:val="73DD2D78"/>
    <w:rsid w:val="74211EB7"/>
    <w:rsid w:val="74B0759F"/>
    <w:rsid w:val="75351AE7"/>
    <w:rsid w:val="75857587"/>
    <w:rsid w:val="760E0665"/>
    <w:rsid w:val="76101A64"/>
    <w:rsid w:val="762467BF"/>
    <w:rsid w:val="78DD000F"/>
    <w:rsid w:val="79194146"/>
    <w:rsid w:val="7B9157F8"/>
    <w:rsid w:val="7F1E258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ocked="1"/>
    <w:lsdException w:qFormat="1" w:uiPriority="39" w:semiHidden="0" w:name="toc 4" w:locked="1"/>
    <w:lsdException w:qFormat="1" w:uiPriority="39" w:semiHidden="0" w:name="toc 5" w:locked="1"/>
    <w:lsdException w:qFormat="1" w:uiPriority="39" w:semiHidden="0" w:name="toc 6" w:locked="1"/>
    <w:lsdException w:qFormat="1" w:uiPriority="39" w:semiHidden="0" w:name="toc 7" w:locked="1"/>
    <w:lsdException w:qFormat="1" w:uiPriority="39" w:semiHidden="0" w:name="toc 8" w:locked="1"/>
    <w:lsdException w:qFormat="1" w:uiPriority="39" w:semiHidden="0" w:name="toc 9" w:locked="1"/>
    <w:lsdException w:uiPriority="99" w:name="Normal Indent"/>
    <w:lsdException w:uiPriority="99" w:name="footnote text"/>
    <w:lsdException w:qFormat="1" w:uiPriority="99" w:semiHidden="0"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0" w:semiHidden="0" w:name="caption" w:locked="1"/>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qFormat="1" w:unhideWhenUsed="0" w:uiPriority="0" w:semiHidden="0"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ocked="1"/>
    <w:lsdException w:qFormat="1" w:unhideWhenUsed="0" w:uiPriority="20" w:semiHidden="0" w:name="Emphasis" w:locked="1"/>
    <w:lsdException w:qFormat="1" w:unhideWhenUsed="0" w:uiPriority="99" w:name="Document Map"/>
    <w:lsdException w:uiPriority="99" w:name="Plain Text"/>
    <w:lsdException w:uiPriority="99" w:name="E-mail Signature"/>
    <w:lsdException w:qFormat="1" w:unhideWhenUsed="0"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44"/>
    <w:qFormat/>
    <w:uiPriority w:val="9"/>
    <w:pPr>
      <w:keepNext/>
      <w:keepLines/>
      <w:widowControl w:val="0"/>
      <w:spacing w:before="340" w:after="330" w:line="578" w:lineRule="auto"/>
      <w:jc w:val="both"/>
      <w:outlineLvl w:val="0"/>
    </w:pPr>
    <w:rPr>
      <w:rFonts w:ascii="Times New Roman" w:hAnsi="Times New Roman" w:cs="Times New Roman"/>
      <w:b/>
      <w:bCs/>
      <w:kern w:val="44"/>
      <w:sz w:val="44"/>
      <w:szCs w:val="44"/>
    </w:rPr>
  </w:style>
  <w:style w:type="paragraph" w:styleId="3">
    <w:name w:val="heading 2"/>
    <w:basedOn w:val="1"/>
    <w:next w:val="1"/>
    <w:link w:val="45"/>
    <w:qFormat/>
    <w:uiPriority w:val="9"/>
    <w:pPr>
      <w:spacing w:before="100" w:beforeAutospacing="1" w:after="100" w:afterAutospacing="1"/>
      <w:outlineLvl w:val="1"/>
    </w:pPr>
    <w:rPr>
      <w:b/>
      <w:bCs/>
      <w:sz w:val="36"/>
      <w:szCs w:val="36"/>
    </w:rPr>
  </w:style>
  <w:style w:type="paragraph" w:styleId="4">
    <w:name w:val="heading 3"/>
    <w:basedOn w:val="1"/>
    <w:next w:val="1"/>
    <w:link w:val="46"/>
    <w:qFormat/>
    <w:uiPriority w:val="0"/>
    <w:pPr>
      <w:keepNext/>
      <w:keepLines/>
      <w:widowControl w:val="0"/>
      <w:spacing w:before="260" w:after="260" w:line="416" w:lineRule="auto"/>
      <w:jc w:val="both"/>
      <w:outlineLvl w:val="2"/>
    </w:pPr>
    <w:rPr>
      <w:rFonts w:ascii="Calibri" w:hAnsi="Calibri" w:cs="Times New Roman"/>
      <w:b/>
      <w:bCs/>
      <w:kern w:val="2"/>
      <w:sz w:val="32"/>
      <w:szCs w:val="32"/>
    </w:rPr>
  </w:style>
  <w:style w:type="paragraph" w:styleId="5">
    <w:name w:val="heading 4"/>
    <w:basedOn w:val="1"/>
    <w:next w:val="1"/>
    <w:link w:val="47"/>
    <w:semiHidden/>
    <w:unhideWhenUsed/>
    <w:qFormat/>
    <w:locked/>
    <w:uiPriority w:val="0"/>
    <w:pPr>
      <w:keepNext/>
      <w:keepLines/>
      <w:widowControl w:val="0"/>
      <w:spacing w:before="280" w:after="290" w:line="376" w:lineRule="auto"/>
      <w:jc w:val="both"/>
      <w:outlineLvl w:val="3"/>
    </w:pPr>
    <w:rPr>
      <w:rFonts w:asciiTheme="majorHAnsi" w:hAnsiTheme="majorHAnsi" w:eastAsiaTheme="majorEastAsia" w:cstheme="majorBidi"/>
      <w:b/>
      <w:bCs/>
      <w:kern w:val="2"/>
      <w:sz w:val="28"/>
      <w:szCs w:val="28"/>
    </w:rPr>
  </w:style>
  <w:style w:type="paragraph" w:styleId="6">
    <w:name w:val="heading 5"/>
    <w:basedOn w:val="1"/>
    <w:next w:val="1"/>
    <w:link w:val="48"/>
    <w:semiHidden/>
    <w:unhideWhenUsed/>
    <w:qFormat/>
    <w:locked/>
    <w:uiPriority w:val="0"/>
    <w:pPr>
      <w:keepNext/>
      <w:keepLines/>
      <w:widowControl w:val="0"/>
      <w:spacing w:before="280" w:after="290" w:line="376" w:lineRule="auto"/>
      <w:jc w:val="both"/>
      <w:outlineLvl w:val="4"/>
    </w:pPr>
    <w:rPr>
      <w:rFonts w:ascii="Times New Roman" w:hAnsi="Times New Roman" w:cs="Times New Roman"/>
      <w:b/>
      <w:bCs/>
      <w:kern w:val="2"/>
      <w:sz w:val="28"/>
      <w:szCs w:val="28"/>
    </w:rPr>
  </w:style>
  <w:style w:type="character" w:default="1" w:styleId="28">
    <w:name w:val="Default Paragraph Font"/>
    <w:semiHidden/>
    <w:unhideWhenUsed/>
    <w:uiPriority w:val="1"/>
  </w:style>
  <w:style w:type="table" w:default="1" w:styleId="41">
    <w:name w:val="Normal Table"/>
    <w:semiHidden/>
    <w:unhideWhenUsed/>
    <w:qFormat/>
    <w:uiPriority w:val="99"/>
    <w:tblPr>
      <w:tblLayout w:type="fixed"/>
      <w:tblCellMar>
        <w:top w:w="0" w:type="dxa"/>
        <w:left w:w="108" w:type="dxa"/>
        <w:bottom w:w="0" w:type="dxa"/>
        <w:right w:w="108" w:type="dxa"/>
      </w:tblCellMar>
    </w:tblPr>
  </w:style>
  <w:style w:type="paragraph" w:styleId="7">
    <w:name w:val="toc 7"/>
    <w:basedOn w:val="1"/>
    <w:next w:val="1"/>
    <w:unhideWhenUsed/>
    <w:qFormat/>
    <w:locked/>
    <w:uiPriority w:val="39"/>
    <w:pPr>
      <w:widowControl w:val="0"/>
      <w:ind w:left="2520" w:leftChars="1200"/>
      <w:jc w:val="both"/>
    </w:pPr>
    <w:rPr>
      <w:rFonts w:asciiTheme="minorHAnsi" w:hAnsiTheme="minorHAnsi" w:eastAsiaTheme="minorEastAsia" w:cstheme="minorBidi"/>
      <w:kern w:val="2"/>
      <w:sz w:val="21"/>
      <w:szCs w:val="22"/>
    </w:rPr>
  </w:style>
  <w:style w:type="paragraph" w:styleId="8">
    <w:name w:val="caption"/>
    <w:basedOn w:val="1"/>
    <w:next w:val="1"/>
    <w:qFormat/>
    <w:locked/>
    <w:uiPriority w:val="0"/>
    <w:pPr>
      <w:widowControl w:val="0"/>
      <w:spacing w:line="280" w:lineRule="exact"/>
      <w:jc w:val="center"/>
    </w:pPr>
    <w:rPr>
      <w:rFonts w:ascii="Times New Roman" w:hAnsi="Times New Roman" w:cs="Arial"/>
      <w:kern w:val="2"/>
      <w:sz w:val="18"/>
      <w:szCs w:val="21"/>
    </w:rPr>
  </w:style>
  <w:style w:type="paragraph" w:styleId="9">
    <w:name w:val="Document Map"/>
    <w:basedOn w:val="1"/>
    <w:link w:val="49"/>
    <w:semiHidden/>
    <w:qFormat/>
    <w:uiPriority w:val="99"/>
    <w:pPr>
      <w:widowControl w:val="0"/>
      <w:jc w:val="both"/>
    </w:pPr>
    <w:rPr>
      <w:rFonts w:hAnsi="Times New Roman" w:cs="Times New Roman"/>
      <w:kern w:val="2"/>
      <w:sz w:val="18"/>
      <w:szCs w:val="18"/>
    </w:rPr>
  </w:style>
  <w:style w:type="paragraph" w:styleId="10">
    <w:name w:val="annotation text"/>
    <w:basedOn w:val="1"/>
    <w:link w:val="50"/>
    <w:unhideWhenUsed/>
    <w:qFormat/>
    <w:uiPriority w:val="99"/>
    <w:pPr>
      <w:widowControl w:val="0"/>
    </w:pPr>
    <w:rPr>
      <w:rFonts w:ascii="Calibri" w:hAnsi="Calibri" w:cs="Times New Roman"/>
      <w:kern w:val="2"/>
      <w:sz w:val="21"/>
      <w:szCs w:val="22"/>
    </w:rPr>
  </w:style>
  <w:style w:type="paragraph" w:styleId="11">
    <w:name w:val="Salutation"/>
    <w:basedOn w:val="1"/>
    <w:next w:val="1"/>
    <w:link w:val="137"/>
    <w:qFormat/>
    <w:uiPriority w:val="0"/>
    <w:pPr>
      <w:widowControl w:val="0"/>
      <w:jc w:val="both"/>
    </w:pPr>
    <w:rPr>
      <w:rFonts w:ascii="Times New Roman" w:hAnsi="Times New Roman" w:cs="Times New Roman"/>
      <w:kern w:val="2"/>
      <w:sz w:val="21"/>
    </w:rPr>
  </w:style>
  <w:style w:type="paragraph" w:styleId="12">
    <w:name w:val="Body Text"/>
    <w:basedOn w:val="1"/>
    <w:link w:val="140"/>
    <w:qFormat/>
    <w:uiPriority w:val="99"/>
    <w:pPr>
      <w:widowControl w:val="0"/>
      <w:tabs>
        <w:tab w:val="left" w:pos="6120"/>
      </w:tabs>
      <w:spacing w:afterLines="25" w:line="300" w:lineRule="auto"/>
      <w:ind w:firstLine="480" w:firstLineChars="200"/>
    </w:pPr>
    <w:rPr>
      <w:rFonts w:ascii="Arial" w:hAnsi="Arial" w:eastAsia="楷体_GB2312"/>
      <w:shd w:val="clear" w:color="auto" w:fill="FFFFFF"/>
    </w:rPr>
  </w:style>
  <w:style w:type="paragraph" w:styleId="13">
    <w:name w:val="toc 5"/>
    <w:basedOn w:val="1"/>
    <w:next w:val="1"/>
    <w:unhideWhenUsed/>
    <w:qFormat/>
    <w:locked/>
    <w:uiPriority w:val="39"/>
    <w:pPr>
      <w:widowControl w:val="0"/>
      <w:ind w:left="1680" w:leftChars="800"/>
      <w:jc w:val="both"/>
    </w:pPr>
    <w:rPr>
      <w:rFonts w:asciiTheme="minorHAnsi" w:hAnsiTheme="minorHAnsi" w:eastAsiaTheme="minorEastAsia" w:cstheme="minorBidi"/>
      <w:kern w:val="2"/>
      <w:sz w:val="21"/>
      <w:szCs w:val="22"/>
    </w:rPr>
  </w:style>
  <w:style w:type="paragraph" w:styleId="14">
    <w:name w:val="toc 3"/>
    <w:basedOn w:val="1"/>
    <w:next w:val="1"/>
    <w:qFormat/>
    <w:locked/>
    <w:uiPriority w:val="39"/>
    <w:pPr>
      <w:widowControl w:val="0"/>
      <w:ind w:left="840" w:leftChars="400"/>
      <w:jc w:val="both"/>
    </w:pPr>
    <w:rPr>
      <w:rFonts w:ascii="Times New Roman" w:hAnsi="Times New Roman" w:cs="Times New Roman"/>
      <w:kern w:val="2"/>
      <w:sz w:val="21"/>
    </w:rPr>
  </w:style>
  <w:style w:type="paragraph" w:styleId="15">
    <w:name w:val="toc 8"/>
    <w:basedOn w:val="1"/>
    <w:next w:val="1"/>
    <w:unhideWhenUsed/>
    <w:qFormat/>
    <w:locked/>
    <w:uiPriority w:val="39"/>
    <w:pPr>
      <w:widowControl w:val="0"/>
      <w:ind w:left="2940" w:leftChars="1400"/>
      <w:jc w:val="both"/>
    </w:pPr>
    <w:rPr>
      <w:rFonts w:asciiTheme="minorHAnsi" w:hAnsiTheme="minorHAnsi" w:eastAsiaTheme="minorEastAsia" w:cstheme="minorBidi"/>
      <w:kern w:val="2"/>
      <w:sz w:val="21"/>
      <w:szCs w:val="22"/>
    </w:rPr>
  </w:style>
  <w:style w:type="paragraph" w:styleId="16">
    <w:name w:val="Date"/>
    <w:basedOn w:val="1"/>
    <w:next w:val="1"/>
    <w:link w:val="51"/>
    <w:semiHidden/>
    <w:qFormat/>
    <w:uiPriority w:val="99"/>
    <w:pPr>
      <w:widowControl w:val="0"/>
      <w:ind w:left="100" w:leftChars="2500"/>
      <w:jc w:val="both"/>
    </w:pPr>
    <w:rPr>
      <w:rFonts w:ascii="Times New Roman" w:hAnsi="Times New Roman" w:cs="Times New Roman"/>
      <w:kern w:val="2"/>
      <w:sz w:val="21"/>
    </w:rPr>
  </w:style>
  <w:style w:type="paragraph" w:styleId="17">
    <w:name w:val="Body Text Indent 2"/>
    <w:basedOn w:val="1"/>
    <w:link w:val="144"/>
    <w:unhideWhenUsed/>
    <w:qFormat/>
    <w:uiPriority w:val="99"/>
    <w:pPr>
      <w:widowControl w:val="0"/>
      <w:spacing w:after="120" w:line="480" w:lineRule="auto"/>
      <w:ind w:left="420" w:leftChars="200"/>
      <w:jc w:val="both"/>
    </w:pPr>
    <w:rPr>
      <w:rFonts w:ascii="Times New Roman" w:hAnsi="Times New Roman" w:cs="Times New Roman"/>
      <w:kern w:val="2"/>
      <w:sz w:val="21"/>
    </w:rPr>
  </w:style>
  <w:style w:type="paragraph" w:styleId="18">
    <w:name w:val="Balloon Text"/>
    <w:basedOn w:val="1"/>
    <w:link w:val="52"/>
    <w:semiHidden/>
    <w:qFormat/>
    <w:uiPriority w:val="99"/>
    <w:pPr>
      <w:widowControl w:val="0"/>
      <w:jc w:val="both"/>
    </w:pPr>
    <w:rPr>
      <w:rFonts w:ascii="Times New Roman" w:hAnsi="Times New Roman" w:cs="Times New Roman"/>
      <w:kern w:val="2"/>
      <w:sz w:val="18"/>
      <w:szCs w:val="18"/>
    </w:rPr>
  </w:style>
  <w:style w:type="paragraph" w:styleId="19">
    <w:name w:val="footer"/>
    <w:basedOn w:val="1"/>
    <w:link w:val="53"/>
    <w:qFormat/>
    <w:uiPriority w:val="0"/>
    <w:pPr>
      <w:widowControl w:val="0"/>
      <w:tabs>
        <w:tab w:val="center" w:pos="4153"/>
        <w:tab w:val="right" w:pos="8306"/>
      </w:tabs>
      <w:snapToGrid w:val="0"/>
    </w:pPr>
    <w:rPr>
      <w:rFonts w:ascii="Times New Roman" w:hAnsi="Times New Roman" w:cs="Times New Roman"/>
      <w:kern w:val="2"/>
      <w:sz w:val="18"/>
      <w:szCs w:val="18"/>
    </w:rPr>
  </w:style>
  <w:style w:type="paragraph" w:styleId="20">
    <w:name w:val="header"/>
    <w:basedOn w:val="1"/>
    <w:link w:val="54"/>
    <w:qFormat/>
    <w:uiPriority w:val="99"/>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18"/>
    </w:rPr>
  </w:style>
  <w:style w:type="paragraph" w:styleId="21">
    <w:name w:val="toc 1"/>
    <w:basedOn w:val="1"/>
    <w:next w:val="1"/>
    <w:qFormat/>
    <w:uiPriority w:val="39"/>
    <w:pPr>
      <w:widowControl w:val="0"/>
      <w:tabs>
        <w:tab w:val="right" w:leader="dot" w:pos="8296"/>
      </w:tabs>
      <w:adjustRightInd w:val="0"/>
      <w:snapToGrid w:val="0"/>
      <w:spacing w:line="360" w:lineRule="auto"/>
      <w:jc w:val="both"/>
    </w:pPr>
    <w:rPr>
      <w:rFonts w:ascii="黑体" w:hAnsi="Times New Roman" w:eastAsia="黑体" w:cs="Times New Roman"/>
      <w:kern w:val="2"/>
    </w:rPr>
  </w:style>
  <w:style w:type="paragraph" w:styleId="22">
    <w:name w:val="toc 4"/>
    <w:basedOn w:val="1"/>
    <w:next w:val="1"/>
    <w:unhideWhenUsed/>
    <w:qFormat/>
    <w:locked/>
    <w:uiPriority w:val="39"/>
    <w:pPr>
      <w:widowControl w:val="0"/>
      <w:ind w:left="1260" w:leftChars="600"/>
      <w:jc w:val="both"/>
    </w:pPr>
    <w:rPr>
      <w:rFonts w:asciiTheme="minorHAnsi" w:hAnsiTheme="minorHAnsi" w:eastAsiaTheme="minorEastAsia" w:cstheme="minorBidi"/>
      <w:kern w:val="2"/>
      <w:sz w:val="21"/>
      <w:szCs w:val="22"/>
    </w:rPr>
  </w:style>
  <w:style w:type="paragraph" w:styleId="23">
    <w:name w:val="toc 6"/>
    <w:basedOn w:val="1"/>
    <w:next w:val="1"/>
    <w:unhideWhenUsed/>
    <w:qFormat/>
    <w:locked/>
    <w:uiPriority w:val="39"/>
    <w:pPr>
      <w:widowControl w:val="0"/>
      <w:ind w:left="2100" w:leftChars="1000"/>
      <w:jc w:val="both"/>
    </w:pPr>
    <w:rPr>
      <w:rFonts w:asciiTheme="minorHAnsi" w:hAnsiTheme="minorHAnsi" w:eastAsiaTheme="minorEastAsia" w:cstheme="minorBidi"/>
      <w:kern w:val="2"/>
      <w:sz w:val="21"/>
      <w:szCs w:val="22"/>
    </w:rPr>
  </w:style>
  <w:style w:type="paragraph" w:styleId="24">
    <w:name w:val="table of figures"/>
    <w:basedOn w:val="1"/>
    <w:next w:val="1"/>
    <w:qFormat/>
    <w:uiPriority w:val="0"/>
    <w:pPr>
      <w:widowControl w:val="0"/>
      <w:spacing w:line="500" w:lineRule="exact"/>
      <w:jc w:val="both"/>
    </w:pPr>
    <w:rPr>
      <w:rFonts w:ascii="Times New Roman" w:hAnsi="Times New Roman" w:cs="Times New Roman"/>
      <w:kern w:val="2"/>
      <w:sz w:val="28"/>
    </w:rPr>
  </w:style>
  <w:style w:type="paragraph" w:styleId="25">
    <w:name w:val="toc 2"/>
    <w:basedOn w:val="1"/>
    <w:next w:val="1"/>
    <w:qFormat/>
    <w:uiPriority w:val="39"/>
    <w:pPr>
      <w:widowControl w:val="0"/>
      <w:tabs>
        <w:tab w:val="right" w:leader="dot" w:pos="8296"/>
      </w:tabs>
      <w:spacing w:line="360" w:lineRule="auto"/>
      <w:ind w:left="420" w:leftChars="200"/>
      <w:jc w:val="both"/>
    </w:pPr>
    <w:rPr>
      <w:rFonts w:ascii="Times New Roman" w:hAnsi="Times New Roman" w:cs="Times New Roman"/>
      <w:kern w:val="2"/>
      <w:sz w:val="21"/>
    </w:rPr>
  </w:style>
  <w:style w:type="paragraph" w:styleId="26">
    <w:name w:val="toc 9"/>
    <w:basedOn w:val="1"/>
    <w:next w:val="1"/>
    <w:unhideWhenUsed/>
    <w:qFormat/>
    <w:locked/>
    <w:uiPriority w:val="39"/>
    <w:pPr>
      <w:widowControl w:val="0"/>
      <w:ind w:left="3360" w:leftChars="1600"/>
      <w:jc w:val="both"/>
    </w:pPr>
    <w:rPr>
      <w:rFonts w:asciiTheme="minorHAnsi" w:hAnsiTheme="minorHAnsi" w:eastAsiaTheme="minorEastAsia" w:cstheme="minorBidi"/>
      <w:kern w:val="2"/>
      <w:sz w:val="21"/>
      <w:szCs w:val="22"/>
    </w:rPr>
  </w:style>
  <w:style w:type="paragraph" w:styleId="27">
    <w:name w:val="Normal (Web)"/>
    <w:basedOn w:val="1"/>
    <w:qFormat/>
    <w:uiPriority w:val="99"/>
    <w:pPr>
      <w:spacing w:before="100" w:beforeAutospacing="1" w:after="100" w:afterAutospacing="1"/>
    </w:pPr>
  </w:style>
  <w:style w:type="character" w:styleId="29">
    <w:name w:val="Strong"/>
    <w:basedOn w:val="28"/>
    <w:qFormat/>
    <w:locked/>
    <w:uiPriority w:val="22"/>
    <w:rPr>
      <w:b/>
    </w:rPr>
  </w:style>
  <w:style w:type="character" w:styleId="30">
    <w:name w:val="FollowedHyperlink"/>
    <w:basedOn w:val="28"/>
    <w:semiHidden/>
    <w:unhideWhenUsed/>
    <w:qFormat/>
    <w:uiPriority w:val="99"/>
    <w:rPr>
      <w:color w:val="000099"/>
      <w:u w:val="none"/>
    </w:rPr>
  </w:style>
  <w:style w:type="character" w:styleId="31">
    <w:name w:val="Emphasis"/>
    <w:basedOn w:val="28"/>
    <w:qFormat/>
    <w:locked/>
    <w:uiPriority w:val="20"/>
  </w:style>
  <w:style w:type="character" w:styleId="32">
    <w:name w:val="HTML Definition"/>
    <w:basedOn w:val="28"/>
    <w:semiHidden/>
    <w:unhideWhenUsed/>
    <w:qFormat/>
    <w:uiPriority w:val="99"/>
  </w:style>
  <w:style w:type="character" w:styleId="33">
    <w:name w:val="HTML Typewriter"/>
    <w:basedOn w:val="28"/>
    <w:semiHidden/>
    <w:unhideWhenUsed/>
    <w:qFormat/>
    <w:uiPriority w:val="99"/>
    <w:rPr>
      <w:rFonts w:hint="default" w:ascii="monospace" w:hAnsi="monospace" w:eastAsia="monospace" w:cs="monospace"/>
      <w:sz w:val="20"/>
    </w:rPr>
  </w:style>
  <w:style w:type="character" w:styleId="34">
    <w:name w:val="HTML Acronym"/>
    <w:basedOn w:val="28"/>
    <w:semiHidden/>
    <w:unhideWhenUsed/>
    <w:qFormat/>
    <w:uiPriority w:val="99"/>
  </w:style>
  <w:style w:type="character" w:styleId="35">
    <w:name w:val="HTML Variable"/>
    <w:basedOn w:val="28"/>
    <w:semiHidden/>
    <w:unhideWhenUsed/>
    <w:qFormat/>
    <w:uiPriority w:val="99"/>
  </w:style>
  <w:style w:type="character" w:styleId="36">
    <w:name w:val="Hyperlink"/>
    <w:basedOn w:val="28"/>
    <w:qFormat/>
    <w:uiPriority w:val="99"/>
    <w:rPr>
      <w:rFonts w:cs="Times New Roman"/>
      <w:color w:val="0000FF"/>
      <w:u w:val="single"/>
    </w:rPr>
  </w:style>
  <w:style w:type="character" w:styleId="37">
    <w:name w:val="HTML Code"/>
    <w:basedOn w:val="28"/>
    <w:semiHidden/>
    <w:unhideWhenUsed/>
    <w:qFormat/>
    <w:uiPriority w:val="99"/>
    <w:rPr>
      <w:rFonts w:hint="eastAsia" w:ascii="微软雅黑" w:hAnsi="微软雅黑" w:eastAsia="微软雅黑" w:cs="微软雅黑"/>
      <w:color w:val="333333"/>
      <w:sz w:val="21"/>
      <w:szCs w:val="21"/>
    </w:rPr>
  </w:style>
  <w:style w:type="character" w:styleId="38">
    <w:name w:val="HTML Cite"/>
    <w:basedOn w:val="28"/>
    <w:semiHidden/>
    <w:unhideWhenUsed/>
    <w:qFormat/>
    <w:uiPriority w:val="99"/>
  </w:style>
  <w:style w:type="character" w:styleId="39">
    <w:name w:val="HTML Keyboard"/>
    <w:basedOn w:val="28"/>
    <w:semiHidden/>
    <w:unhideWhenUsed/>
    <w:qFormat/>
    <w:uiPriority w:val="99"/>
    <w:rPr>
      <w:rFonts w:ascii="Consolas" w:hAnsi="Consolas" w:eastAsia="Consolas" w:cs="Consolas"/>
      <w:color w:val="FFFFFF"/>
      <w:sz w:val="21"/>
      <w:szCs w:val="21"/>
      <w:shd w:val="clear" w:color="auto" w:fill="333333"/>
    </w:rPr>
  </w:style>
  <w:style w:type="character" w:styleId="40">
    <w:name w:val="HTML Sample"/>
    <w:basedOn w:val="28"/>
    <w:semiHidden/>
    <w:unhideWhenUsed/>
    <w:qFormat/>
    <w:uiPriority w:val="99"/>
    <w:rPr>
      <w:rFonts w:hint="default" w:ascii="Consolas" w:hAnsi="Consolas" w:eastAsia="Consolas" w:cs="Consolas"/>
      <w:sz w:val="21"/>
      <w:szCs w:val="21"/>
    </w:r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43">
    <w:name w:val="报告正文"/>
    <w:qFormat/>
    <w:uiPriority w:val="0"/>
    <w:pPr>
      <w:snapToGrid w:val="0"/>
      <w:spacing w:line="500" w:lineRule="exact"/>
      <w:ind w:firstLine="640" w:firstLineChars="200"/>
    </w:pPr>
    <w:rPr>
      <w:rFonts w:ascii="Times New Roman" w:hAnsi="Times New Roman" w:eastAsia="宋体" w:cstheme="minorBidi"/>
      <w:sz w:val="28"/>
      <w:lang w:val="en-US" w:eastAsia="zh-CN" w:bidi="ar-SA"/>
    </w:rPr>
  </w:style>
  <w:style w:type="character" w:customStyle="1" w:styleId="44">
    <w:name w:val="标题 1 Char"/>
    <w:basedOn w:val="28"/>
    <w:link w:val="2"/>
    <w:qFormat/>
    <w:locked/>
    <w:uiPriority w:val="9"/>
    <w:rPr>
      <w:rFonts w:ascii="Times New Roman" w:hAnsi="Times New Roman" w:eastAsia="宋体" w:cs="Times New Roman"/>
      <w:b/>
      <w:bCs/>
      <w:kern w:val="44"/>
      <w:sz w:val="44"/>
      <w:szCs w:val="44"/>
    </w:rPr>
  </w:style>
  <w:style w:type="character" w:customStyle="1" w:styleId="45">
    <w:name w:val="标题 2 Char"/>
    <w:basedOn w:val="28"/>
    <w:link w:val="3"/>
    <w:qFormat/>
    <w:locked/>
    <w:uiPriority w:val="9"/>
    <w:rPr>
      <w:rFonts w:ascii="宋体" w:hAnsi="宋体" w:eastAsia="宋体" w:cs="宋体"/>
      <w:b/>
      <w:bCs/>
      <w:kern w:val="0"/>
      <w:sz w:val="36"/>
      <w:szCs w:val="36"/>
    </w:rPr>
  </w:style>
  <w:style w:type="character" w:customStyle="1" w:styleId="46">
    <w:name w:val="标题 3 Char"/>
    <w:basedOn w:val="28"/>
    <w:link w:val="4"/>
    <w:qFormat/>
    <w:locked/>
    <w:uiPriority w:val="0"/>
    <w:rPr>
      <w:rFonts w:ascii="Calibri" w:hAnsi="Calibri" w:eastAsia="宋体" w:cs="Times New Roman"/>
      <w:b/>
      <w:bCs/>
      <w:sz w:val="32"/>
      <w:szCs w:val="32"/>
    </w:rPr>
  </w:style>
  <w:style w:type="character" w:customStyle="1" w:styleId="47">
    <w:name w:val="标题 4 Char"/>
    <w:basedOn w:val="28"/>
    <w:link w:val="5"/>
    <w:semiHidden/>
    <w:qFormat/>
    <w:uiPriority w:val="0"/>
    <w:rPr>
      <w:rFonts w:asciiTheme="majorHAnsi" w:hAnsiTheme="majorHAnsi" w:eastAsiaTheme="majorEastAsia" w:cstheme="majorBidi"/>
      <w:b/>
      <w:bCs/>
      <w:kern w:val="2"/>
      <w:sz w:val="28"/>
      <w:szCs w:val="28"/>
    </w:rPr>
  </w:style>
  <w:style w:type="character" w:customStyle="1" w:styleId="48">
    <w:name w:val="标题 5 Char"/>
    <w:basedOn w:val="28"/>
    <w:link w:val="6"/>
    <w:semiHidden/>
    <w:qFormat/>
    <w:uiPriority w:val="0"/>
    <w:rPr>
      <w:b/>
      <w:bCs/>
      <w:kern w:val="2"/>
      <w:sz w:val="28"/>
      <w:szCs w:val="28"/>
    </w:rPr>
  </w:style>
  <w:style w:type="character" w:customStyle="1" w:styleId="49">
    <w:name w:val="文档结构图 Char"/>
    <w:basedOn w:val="28"/>
    <w:link w:val="9"/>
    <w:semiHidden/>
    <w:qFormat/>
    <w:locked/>
    <w:uiPriority w:val="99"/>
    <w:rPr>
      <w:rFonts w:ascii="宋体" w:hAnsi="Times New Roman" w:eastAsia="宋体" w:cs="Times New Roman"/>
      <w:sz w:val="18"/>
      <w:szCs w:val="18"/>
    </w:rPr>
  </w:style>
  <w:style w:type="character" w:customStyle="1" w:styleId="50">
    <w:name w:val="批注文字 Char"/>
    <w:basedOn w:val="28"/>
    <w:link w:val="10"/>
    <w:qFormat/>
    <w:uiPriority w:val="99"/>
  </w:style>
  <w:style w:type="character" w:customStyle="1" w:styleId="51">
    <w:name w:val="日期 Char"/>
    <w:basedOn w:val="28"/>
    <w:link w:val="16"/>
    <w:semiHidden/>
    <w:qFormat/>
    <w:locked/>
    <w:uiPriority w:val="99"/>
    <w:rPr>
      <w:rFonts w:ascii="Times New Roman" w:hAnsi="Times New Roman" w:cs="Times New Roman"/>
      <w:kern w:val="2"/>
      <w:sz w:val="24"/>
      <w:szCs w:val="24"/>
    </w:rPr>
  </w:style>
  <w:style w:type="character" w:customStyle="1" w:styleId="52">
    <w:name w:val="批注框文本 Char"/>
    <w:basedOn w:val="28"/>
    <w:link w:val="18"/>
    <w:semiHidden/>
    <w:qFormat/>
    <w:locked/>
    <w:uiPriority w:val="99"/>
    <w:rPr>
      <w:rFonts w:ascii="Times New Roman" w:hAnsi="Times New Roman" w:eastAsia="宋体" w:cs="Times New Roman"/>
      <w:sz w:val="18"/>
      <w:szCs w:val="18"/>
    </w:rPr>
  </w:style>
  <w:style w:type="character" w:customStyle="1" w:styleId="53">
    <w:name w:val="页脚 Char"/>
    <w:basedOn w:val="28"/>
    <w:link w:val="19"/>
    <w:qFormat/>
    <w:locked/>
    <w:uiPriority w:val="99"/>
    <w:rPr>
      <w:rFonts w:ascii="Times New Roman" w:hAnsi="Times New Roman" w:eastAsia="宋体" w:cs="Times New Roman"/>
      <w:sz w:val="18"/>
      <w:szCs w:val="18"/>
    </w:rPr>
  </w:style>
  <w:style w:type="character" w:customStyle="1" w:styleId="54">
    <w:name w:val="页眉 Char"/>
    <w:basedOn w:val="28"/>
    <w:link w:val="20"/>
    <w:qFormat/>
    <w:locked/>
    <w:uiPriority w:val="99"/>
    <w:rPr>
      <w:rFonts w:ascii="Times New Roman" w:hAnsi="Times New Roman" w:eastAsia="宋体" w:cs="Times New Roman"/>
      <w:sz w:val="18"/>
      <w:szCs w:val="18"/>
    </w:rPr>
  </w:style>
  <w:style w:type="paragraph" w:customStyle="1" w:styleId="55">
    <w:name w:val="列出段落1"/>
    <w:basedOn w:val="1"/>
    <w:qFormat/>
    <w:uiPriority w:val="99"/>
    <w:pPr>
      <w:widowControl w:val="0"/>
      <w:ind w:firstLine="420" w:firstLineChars="200"/>
      <w:jc w:val="both"/>
    </w:pPr>
    <w:rPr>
      <w:rFonts w:ascii="Calibri" w:hAnsi="Calibri" w:cs="Times New Roman"/>
      <w:kern w:val="2"/>
      <w:sz w:val="21"/>
      <w:szCs w:val="22"/>
    </w:rPr>
  </w:style>
  <w:style w:type="paragraph" w:customStyle="1" w:styleId="56">
    <w:name w:val="无间隔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7">
    <w:name w:val="reader-word-layer"/>
    <w:basedOn w:val="1"/>
    <w:qFormat/>
    <w:uiPriority w:val="99"/>
    <w:pPr>
      <w:spacing w:before="100" w:beforeAutospacing="1" w:after="100" w:afterAutospacing="1"/>
    </w:pPr>
  </w:style>
  <w:style w:type="character" w:customStyle="1" w:styleId="58">
    <w:name w:val="headline-content2"/>
    <w:basedOn w:val="28"/>
    <w:qFormat/>
    <w:uiPriority w:val="99"/>
    <w:rPr>
      <w:rFonts w:cs="Times New Roman"/>
    </w:rPr>
  </w:style>
  <w:style w:type="character" w:customStyle="1" w:styleId="59">
    <w:name w:val="书籍标题1"/>
    <w:basedOn w:val="28"/>
    <w:qFormat/>
    <w:uiPriority w:val="99"/>
    <w:rPr>
      <w:rFonts w:cs="Times New Roman"/>
      <w:b/>
      <w:bCs/>
      <w:smallCaps/>
      <w:spacing w:val="5"/>
    </w:rPr>
  </w:style>
  <w:style w:type="character" w:customStyle="1" w:styleId="60">
    <w:name w:val="纯文本 Char"/>
    <w:basedOn w:val="28"/>
    <w:link w:val="61"/>
    <w:qFormat/>
    <w:locked/>
    <w:uiPriority w:val="99"/>
    <w:rPr>
      <w:rFonts w:ascii="宋体" w:hAnsi="Courier New" w:eastAsia="宋体" w:cs="Times New Roman"/>
      <w:sz w:val="20"/>
      <w:szCs w:val="20"/>
    </w:rPr>
  </w:style>
  <w:style w:type="paragraph" w:customStyle="1" w:styleId="61">
    <w:name w:val="纯文本1"/>
    <w:basedOn w:val="1"/>
    <w:link w:val="60"/>
    <w:qFormat/>
    <w:uiPriority w:val="99"/>
    <w:pPr>
      <w:widowControl w:val="0"/>
      <w:spacing w:line="440" w:lineRule="exact"/>
      <w:ind w:left="1191" w:hanging="1191"/>
      <w:jc w:val="both"/>
    </w:pPr>
    <w:rPr>
      <w:rFonts w:hAnsi="Courier New" w:cs="Times New Roman"/>
      <w:kern w:val="2"/>
      <w:szCs w:val="20"/>
    </w:rPr>
  </w:style>
  <w:style w:type="paragraph" w:customStyle="1" w:styleId="62">
    <w:name w:val="Char"/>
    <w:basedOn w:val="1"/>
    <w:qFormat/>
    <w:uiPriority w:val="99"/>
    <w:pPr>
      <w:widowControl w:val="0"/>
      <w:jc w:val="both"/>
    </w:pPr>
    <w:rPr>
      <w:rFonts w:ascii="Times New Roman" w:hAnsi="Times New Roman" w:cs="Times New Roman"/>
      <w:kern w:val="2"/>
      <w:sz w:val="21"/>
    </w:rPr>
  </w:style>
  <w:style w:type="paragraph" w:customStyle="1" w:styleId="63">
    <w:name w:val="Char Char Char Char Char Char Char"/>
    <w:basedOn w:val="1"/>
    <w:qFormat/>
    <w:uiPriority w:val="99"/>
    <w:pPr>
      <w:widowControl w:val="0"/>
      <w:jc w:val="both"/>
    </w:pPr>
    <w:rPr>
      <w:rFonts w:ascii="Times New Roman" w:hAnsi="Times New Roman" w:cs="Times New Roman"/>
      <w:kern w:val="2"/>
      <w:sz w:val="21"/>
      <w:szCs w:val="21"/>
    </w:rPr>
  </w:style>
  <w:style w:type="character" w:customStyle="1" w:styleId="64">
    <w:name w:val="style391"/>
    <w:basedOn w:val="28"/>
    <w:qFormat/>
    <w:uiPriority w:val="99"/>
    <w:rPr>
      <w:rFonts w:cs="Times New Roman"/>
      <w:sz w:val="21"/>
      <w:szCs w:val="21"/>
    </w:rPr>
  </w:style>
  <w:style w:type="paragraph" w:customStyle="1" w:styleId="65">
    <w:name w:val="默认段落字体 Para Char"/>
    <w:basedOn w:val="1"/>
    <w:qFormat/>
    <w:uiPriority w:val="99"/>
    <w:pPr>
      <w:widowControl w:val="0"/>
      <w:jc w:val="both"/>
    </w:pPr>
    <w:rPr>
      <w:rFonts w:ascii="Times New Roman" w:hAnsi="Times New Roman" w:eastAsia="楷体_GB2312" w:cs="Times New Roman"/>
      <w:spacing w:val="8"/>
      <w:sz w:val="28"/>
      <w:szCs w:val="20"/>
    </w:rPr>
  </w:style>
  <w:style w:type="character" w:customStyle="1" w:styleId="66">
    <w:name w:val="headline-content"/>
    <w:basedOn w:val="28"/>
    <w:qFormat/>
    <w:uiPriority w:val="99"/>
    <w:rPr>
      <w:rFonts w:cs="Times New Roman"/>
    </w:rPr>
  </w:style>
  <w:style w:type="paragraph" w:customStyle="1" w:styleId="67">
    <w:name w:val="样式1"/>
    <w:basedOn w:val="4"/>
    <w:link w:val="68"/>
    <w:qFormat/>
    <w:uiPriority w:val="0"/>
    <w:pPr>
      <w:adjustRightInd w:val="0"/>
      <w:snapToGrid w:val="0"/>
      <w:spacing w:beforeLines="50" w:after="0" w:line="360" w:lineRule="auto"/>
      <w:ind w:firstLine="641" w:firstLineChars="200"/>
    </w:pPr>
    <w:rPr>
      <w:rFonts w:ascii="华文楷体" w:hAnsi="华文楷体" w:eastAsia="华文楷体"/>
      <w:color w:val="000000"/>
      <w:lang w:bidi="hi-IN"/>
    </w:rPr>
  </w:style>
  <w:style w:type="character" w:customStyle="1" w:styleId="68">
    <w:name w:val="样式1 Char"/>
    <w:basedOn w:val="46"/>
    <w:link w:val="67"/>
    <w:qFormat/>
    <w:uiPriority w:val="0"/>
    <w:rPr>
      <w:rFonts w:ascii="华文楷体" w:hAnsi="华文楷体" w:eastAsia="华文楷体" w:cs="Times New Roman"/>
      <w:color w:val="000000"/>
      <w:sz w:val="32"/>
      <w:szCs w:val="32"/>
      <w:lang w:bidi="hi-IN"/>
    </w:rPr>
  </w:style>
  <w:style w:type="paragraph" w:customStyle="1" w:styleId="69">
    <w:name w:val="正文文本1"/>
    <w:basedOn w:val="1"/>
    <w:link w:val="70"/>
    <w:qFormat/>
    <w:uiPriority w:val="0"/>
    <w:pPr>
      <w:widowControl w:val="0"/>
      <w:spacing w:after="120" w:line="400" w:lineRule="atLeast"/>
      <w:ind w:firstLine="420" w:firstLineChars="200"/>
      <w:jc w:val="both"/>
    </w:pPr>
    <w:rPr>
      <w:rFonts w:cs="Times New Roman"/>
      <w:kern w:val="2"/>
      <w:sz w:val="21"/>
    </w:rPr>
  </w:style>
  <w:style w:type="character" w:customStyle="1" w:styleId="70">
    <w:name w:val="正文文本 Char"/>
    <w:basedOn w:val="28"/>
    <w:link w:val="69"/>
    <w:qFormat/>
    <w:uiPriority w:val="99"/>
    <w:rPr>
      <w:rFonts w:ascii="宋体" w:hAnsi="宋体"/>
      <w:szCs w:val="24"/>
    </w:rPr>
  </w:style>
  <w:style w:type="paragraph" w:customStyle="1" w:styleId="71">
    <w:name w:val="Char1"/>
    <w:basedOn w:val="1"/>
    <w:qFormat/>
    <w:uiPriority w:val="0"/>
    <w:pPr>
      <w:widowControl w:val="0"/>
      <w:jc w:val="both"/>
    </w:pPr>
    <w:rPr>
      <w:rFonts w:ascii="仿宋_GB2312" w:hAnsi="Times New Roman" w:eastAsia="仿宋_GB2312" w:cs="Times New Roman"/>
      <w:kern w:val="2"/>
      <w:sz w:val="32"/>
    </w:rPr>
  </w:style>
  <w:style w:type="paragraph" w:customStyle="1" w:styleId="72">
    <w:name w:val="Char2"/>
    <w:basedOn w:val="1"/>
    <w:qFormat/>
    <w:uiPriority w:val="0"/>
    <w:pPr>
      <w:widowControl w:val="0"/>
      <w:jc w:val="both"/>
    </w:pPr>
    <w:rPr>
      <w:rFonts w:ascii="仿宋_GB2312" w:hAnsi="Times New Roman" w:eastAsia="仿宋_GB2312" w:cs="Times New Roman"/>
      <w:kern w:val="2"/>
      <w:sz w:val="32"/>
    </w:rPr>
  </w:style>
  <w:style w:type="paragraph" w:customStyle="1" w:styleId="73">
    <w:name w:val="Char3"/>
    <w:basedOn w:val="1"/>
    <w:qFormat/>
    <w:uiPriority w:val="0"/>
    <w:pPr>
      <w:widowControl w:val="0"/>
      <w:jc w:val="both"/>
    </w:pPr>
    <w:rPr>
      <w:rFonts w:ascii="仿宋_GB2312" w:hAnsi="Times New Roman" w:eastAsia="仿宋_GB2312" w:cs="Times New Roman"/>
      <w:kern w:val="2"/>
      <w:sz w:val="32"/>
    </w:rPr>
  </w:style>
  <w:style w:type="paragraph" w:customStyle="1" w:styleId="74">
    <w:name w:val="Char1 Char Char Char"/>
    <w:basedOn w:val="1"/>
    <w:qFormat/>
    <w:uiPriority w:val="0"/>
    <w:pPr>
      <w:widowControl w:val="0"/>
      <w:jc w:val="both"/>
    </w:pPr>
    <w:rPr>
      <w:rFonts w:ascii="Tahoma" w:hAnsi="Tahoma" w:cs="Times New Roman"/>
      <w:kern w:val="2"/>
    </w:rPr>
  </w:style>
  <w:style w:type="character" w:customStyle="1" w:styleId="75">
    <w:name w:val="apple-converted-space"/>
    <w:basedOn w:val="28"/>
    <w:qFormat/>
    <w:uiPriority w:val="0"/>
  </w:style>
  <w:style w:type="character" w:customStyle="1" w:styleId="76">
    <w:name w:val="hover22"/>
    <w:basedOn w:val="28"/>
    <w:qFormat/>
    <w:uiPriority w:val="0"/>
  </w:style>
  <w:style w:type="character" w:customStyle="1" w:styleId="77">
    <w:name w:val="hover23"/>
    <w:basedOn w:val="28"/>
    <w:qFormat/>
    <w:uiPriority w:val="0"/>
  </w:style>
  <w:style w:type="character" w:customStyle="1" w:styleId="78">
    <w:name w:val="bds_more"/>
    <w:basedOn w:val="28"/>
    <w:qFormat/>
    <w:uiPriority w:val="0"/>
    <w:rPr>
      <w:rFonts w:ascii="微软雅黑" w:hAnsi="微软雅黑" w:eastAsia="微软雅黑" w:cs="微软雅黑"/>
      <w:color w:val="333333"/>
    </w:rPr>
  </w:style>
  <w:style w:type="character" w:customStyle="1" w:styleId="79">
    <w:name w:val="password"/>
    <w:basedOn w:val="28"/>
    <w:qFormat/>
    <w:uiPriority w:val="0"/>
  </w:style>
  <w:style w:type="character" w:customStyle="1" w:styleId="80">
    <w:name w:val="wxpay"/>
    <w:basedOn w:val="28"/>
    <w:qFormat/>
    <w:uiPriority w:val="0"/>
  </w:style>
  <w:style w:type="character" w:customStyle="1" w:styleId="81">
    <w:name w:val="hover51"/>
    <w:basedOn w:val="28"/>
    <w:uiPriority w:val="0"/>
  </w:style>
  <w:style w:type="character" w:customStyle="1" w:styleId="82">
    <w:name w:val="fr"/>
    <w:basedOn w:val="28"/>
    <w:qFormat/>
    <w:uiPriority w:val="0"/>
  </w:style>
  <w:style w:type="character" w:customStyle="1" w:styleId="83">
    <w:name w:val="wxstandby"/>
    <w:basedOn w:val="28"/>
    <w:qFormat/>
    <w:uiPriority w:val="0"/>
  </w:style>
  <w:style w:type="character" w:customStyle="1" w:styleId="84">
    <w:name w:val="navselect"/>
    <w:basedOn w:val="28"/>
    <w:qFormat/>
    <w:uiPriority w:val="0"/>
    <w:rPr>
      <w:color w:val="333333"/>
      <w:bdr w:val="single" w:color="FF7700" w:sz="6" w:space="0"/>
      <w:shd w:val="clear" w:color="auto" w:fill="FFFFFF"/>
    </w:rPr>
  </w:style>
  <w:style w:type="character" w:customStyle="1" w:styleId="85">
    <w:name w:val="pages"/>
    <w:basedOn w:val="28"/>
    <w:uiPriority w:val="0"/>
    <w:rPr>
      <w:color w:val="999999"/>
    </w:rPr>
  </w:style>
  <w:style w:type="character" w:customStyle="1" w:styleId="86">
    <w:name w:val="authcode"/>
    <w:basedOn w:val="28"/>
    <w:uiPriority w:val="0"/>
  </w:style>
  <w:style w:type="character" w:customStyle="1" w:styleId="87">
    <w:name w:val="input"/>
    <w:basedOn w:val="28"/>
    <w:qFormat/>
    <w:uiPriority w:val="0"/>
  </w:style>
  <w:style w:type="character" w:customStyle="1" w:styleId="88">
    <w:name w:val="zfbpay"/>
    <w:basedOn w:val="28"/>
    <w:uiPriority w:val="0"/>
  </w:style>
  <w:style w:type="character" w:customStyle="1" w:styleId="89">
    <w:name w:val="layui-layer-tabnow2"/>
    <w:basedOn w:val="28"/>
    <w:qFormat/>
    <w:uiPriority w:val="0"/>
    <w:rPr>
      <w:bdr w:val="single" w:color="CCCCCC" w:sz="6" w:space="0"/>
      <w:shd w:val="clear" w:color="auto" w:fill="FFFFFF"/>
    </w:rPr>
  </w:style>
  <w:style w:type="character" w:customStyle="1" w:styleId="90">
    <w:name w:val="onpay"/>
    <w:basedOn w:val="28"/>
    <w:qFormat/>
    <w:uiPriority w:val="0"/>
    <w:rPr>
      <w:bdr w:val="single" w:color="F69C00" w:sz="18" w:space="0"/>
    </w:rPr>
  </w:style>
  <w:style w:type="character" w:customStyle="1" w:styleId="91">
    <w:name w:val="red5"/>
    <w:basedOn w:val="28"/>
    <w:uiPriority w:val="0"/>
    <w:rPr>
      <w:color w:val="FF0000"/>
    </w:rPr>
  </w:style>
  <w:style w:type="character" w:customStyle="1" w:styleId="92">
    <w:name w:val="doc"/>
    <w:basedOn w:val="28"/>
    <w:uiPriority w:val="0"/>
  </w:style>
  <w:style w:type="character" w:customStyle="1" w:styleId="93">
    <w:name w:val="upload"/>
    <w:basedOn w:val="28"/>
    <w:uiPriority w:val="0"/>
  </w:style>
  <w:style w:type="character" w:customStyle="1" w:styleId="94">
    <w:name w:val="weixin-standby-icon"/>
    <w:basedOn w:val="28"/>
    <w:uiPriority w:val="0"/>
  </w:style>
  <w:style w:type="character" w:customStyle="1" w:styleId="95">
    <w:name w:val="update"/>
    <w:basedOn w:val="28"/>
    <w:qFormat/>
    <w:uiPriority w:val="0"/>
  </w:style>
  <w:style w:type="character" w:customStyle="1" w:styleId="96">
    <w:name w:val="first-child"/>
    <w:basedOn w:val="28"/>
    <w:qFormat/>
    <w:uiPriority w:val="0"/>
  </w:style>
  <w:style w:type="character" w:customStyle="1" w:styleId="97">
    <w:name w:val="qqpay"/>
    <w:basedOn w:val="28"/>
    <w:qFormat/>
    <w:uiPriority w:val="0"/>
  </w:style>
  <w:style w:type="character" w:customStyle="1" w:styleId="98">
    <w:name w:val="weixin-icon"/>
    <w:basedOn w:val="28"/>
    <w:qFormat/>
    <w:uiPriority w:val="0"/>
  </w:style>
  <w:style w:type="character" w:customStyle="1" w:styleId="99">
    <w:name w:val="dec"/>
    <w:basedOn w:val="28"/>
    <w:qFormat/>
    <w:uiPriority w:val="0"/>
  </w:style>
  <w:style w:type="character" w:customStyle="1" w:styleId="100">
    <w:name w:val="hover"/>
    <w:basedOn w:val="28"/>
    <w:qFormat/>
    <w:uiPriority w:val="0"/>
  </w:style>
  <w:style w:type="character" w:customStyle="1" w:styleId="101">
    <w:name w:val="red"/>
    <w:basedOn w:val="28"/>
    <w:qFormat/>
    <w:uiPriority w:val="0"/>
    <w:rPr>
      <w:color w:val="FF0000"/>
    </w:rPr>
  </w:style>
  <w:style w:type="character" w:customStyle="1" w:styleId="102">
    <w:name w:val="doc1"/>
    <w:basedOn w:val="28"/>
    <w:qFormat/>
    <w:uiPriority w:val="0"/>
  </w:style>
  <w:style w:type="character" w:customStyle="1" w:styleId="103">
    <w:name w:val="hover6"/>
    <w:basedOn w:val="28"/>
    <w:qFormat/>
    <w:uiPriority w:val="0"/>
    <w:rPr>
      <w:color w:val="C20000"/>
      <w:u w:val="none"/>
      <w:bdr w:val="single" w:color="C20000" w:sz="6" w:space="0"/>
    </w:rPr>
  </w:style>
  <w:style w:type="character" w:customStyle="1" w:styleId="104">
    <w:name w:val="layui-this"/>
    <w:basedOn w:val="28"/>
    <w:qFormat/>
    <w:uiPriority w:val="0"/>
    <w:rPr>
      <w:bdr w:val="single" w:color="EEEEEE" w:sz="6" w:space="0"/>
      <w:shd w:val="clear" w:color="auto" w:fill="FFFFFF"/>
    </w:rPr>
  </w:style>
  <w:style w:type="character" w:customStyle="1" w:styleId="105">
    <w:name w:val="bjh-p"/>
    <w:basedOn w:val="28"/>
    <w:qFormat/>
    <w:uiPriority w:val="0"/>
  </w:style>
  <w:style w:type="character" w:customStyle="1" w:styleId="106">
    <w:name w:val="t_tag"/>
    <w:basedOn w:val="28"/>
    <w:qFormat/>
    <w:uiPriority w:val="0"/>
  </w:style>
  <w:style w:type="character" w:customStyle="1" w:styleId="107">
    <w:name w:val="new_laigao"/>
    <w:basedOn w:val="28"/>
    <w:qFormat/>
    <w:uiPriority w:val="0"/>
  </w:style>
  <w:style w:type="character" w:customStyle="1" w:styleId="108">
    <w:name w:val="faburen"/>
    <w:basedOn w:val="28"/>
    <w:qFormat/>
    <w:uiPriority w:val="0"/>
  </w:style>
  <w:style w:type="character" w:customStyle="1" w:styleId="109">
    <w:name w:val="time"/>
    <w:basedOn w:val="28"/>
    <w:uiPriority w:val="0"/>
  </w:style>
  <w:style w:type="character" w:customStyle="1" w:styleId="110">
    <w:name w:val="zl_txt"/>
    <w:basedOn w:val="28"/>
    <w:uiPriority w:val="0"/>
    <w:rPr>
      <w:color w:val="FFFFFF"/>
    </w:rPr>
  </w:style>
  <w:style w:type="character" w:customStyle="1" w:styleId="111">
    <w:name w:val="tit"/>
    <w:basedOn w:val="28"/>
    <w:qFormat/>
    <w:uiPriority w:val="0"/>
  </w:style>
  <w:style w:type="character" w:customStyle="1" w:styleId="112">
    <w:name w:val="st"/>
    <w:basedOn w:val="28"/>
    <w:qFormat/>
    <w:uiPriority w:val="0"/>
    <w:rPr>
      <w:color w:val="999999"/>
    </w:rPr>
  </w:style>
  <w:style w:type="character" w:customStyle="1" w:styleId="113">
    <w:name w:val="more"/>
    <w:basedOn w:val="28"/>
    <w:qFormat/>
    <w:uiPriority w:val="0"/>
  </w:style>
  <w:style w:type="character" w:customStyle="1" w:styleId="114">
    <w:name w:val="total"/>
    <w:basedOn w:val="28"/>
    <w:qFormat/>
    <w:uiPriority w:val="0"/>
    <w:rPr>
      <w:color w:val="FFFFFF"/>
      <w:shd w:val="clear" w:color="auto" w:fill="24BDF5"/>
    </w:rPr>
  </w:style>
  <w:style w:type="character" w:customStyle="1" w:styleId="115">
    <w:name w:val="hit"/>
    <w:basedOn w:val="28"/>
    <w:uiPriority w:val="0"/>
  </w:style>
  <w:style w:type="character" w:customStyle="1" w:styleId="116">
    <w:name w:val="dropselect_box"/>
    <w:basedOn w:val="28"/>
    <w:qFormat/>
    <w:uiPriority w:val="0"/>
    <w:rPr>
      <w:bdr w:val="single" w:color="C2C2C2" w:sz="6" w:space="0"/>
    </w:rPr>
  </w:style>
  <w:style w:type="character" w:customStyle="1" w:styleId="117">
    <w:name w:val="hj-easyread-speakerprocesser-position-action-icon"/>
    <w:basedOn w:val="28"/>
    <w:qFormat/>
    <w:uiPriority w:val="0"/>
  </w:style>
  <w:style w:type="paragraph" w:customStyle="1" w:styleId="118">
    <w:name w:val="正文."/>
    <w:basedOn w:val="1"/>
    <w:qFormat/>
    <w:uiPriority w:val="0"/>
    <w:pPr>
      <w:widowControl w:val="0"/>
      <w:spacing w:line="360" w:lineRule="auto"/>
      <w:ind w:firstLine="200" w:firstLineChars="200"/>
      <w:jc w:val="both"/>
    </w:pPr>
    <w:rPr>
      <w:rFonts w:ascii="Times New Roman" w:hAnsi="Times New Roman" w:eastAsia="仿宋_GB2312"/>
      <w:bCs/>
      <w:kern w:val="2"/>
      <w:sz w:val="28"/>
      <w:szCs w:val="28"/>
    </w:rPr>
  </w:style>
  <w:style w:type="character" w:customStyle="1" w:styleId="119">
    <w:name w:val="hover42"/>
    <w:basedOn w:val="28"/>
    <w:qFormat/>
    <w:uiPriority w:val="0"/>
    <w:rPr>
      <w:color w:val="FFFFFF"/>
      <w:shd w:val="clear" w:color="auto" w:fill="2AB2DD"/>
    </w:rPr>
  </w:style>
  <w:style w:type="character" w:customStyle="1" w:styleId="120">
    <w:name w:val="w602"/>
    <w:basedOn w:val="28"/>
    <w:uiPriority w:val="0"/>
  </w:style>
  <w:style w:type="character" w:customStyle="1" w:styleId="121">
    <w:name w:val="waptab-name"/>
    <w:basedOn w:val="28"/>
    <w:qFormat/>
    <w:uiPriority w:val="0"/>
    <w:rPr>
      <w:color w:val="454545"/>
      <w:sz w:val="21"/>
      <w:szCs w:val="21"/>
    </w:rPr>
  </w:style>
  <w:style w:type="character" w:customStyle="1" w:styleId="122">
    <w:name w:val="waptab-con"/>
    <w:basedOn w:val="28"/>
    <w:uiPriority w:val="0"/>
    <w:rPr>
      <w:bdr w:val="single" w:color="E5E5E5" w:sz="6" w:space="0"/>
    </w:rPr>
  </w:style>
  <w:style w:type="character" w:customStyle="1" w:styleId="123">
    <w:name w:val="waptab-fwzh"/>
    <w:basedOn w:val="28"/>
    <w:uiPriority w:val="0"/>
  </w:style>
  <w:style w:type="character" w:customStyle="1" w:styleId="124">
    <w:name w:val="font"/>
    <w:basedOn w:val="28"/>
    <w:qFormat/>
    <w:uiPriority w:val="0"/>
  </w:style>
  <w:style w:type="character" w:customStyle="1" w:styleId="125">
    <w:name w:val="font1"/>
    <w:basedOn w:val="28"/>
    <w:qFormat/>
    <w:uiPriority w:val="0"/>
  </w:style>
  <w:style w:type="character" w:customStyle="1" w:styleId="126">
    <w:name w:val="hover9"/>
    <w:basedOn w:val="28"/>
    <w:qFormat/>
    <w:uiPriority w:val="0"/>
    <w:rPr>
      <w:color w:val="FFFFFF"/>
      <w:shd w:val="clear" w:color="auto" w:fill="226EBC"/>
    </w:rPr>
  </w:style>
  <w:style w:type="character" w:customStyle="1" w:styleId="127">
    <w:name w:val="visits"/>
    <w:basedOn w:val="28"/>
    <w:qFormat/>
    <w:uiPriority w:val="0"/>
    <w:rPr>
      <w:shd w:val="clear" w:color="auto" w:fill="226EBC"/>
    </w:rPr>
  </w:style>
  <w:style w:type="character" w:customStyle="1" w:styleId="128">
    <w:name w:val="hover10"/>
    <w:basedOn w:val="28"/>
    <w:qFormat/>
    <w:uiPriority w:val="0"/>
    <w:rPr>
      <w:color w:val="FFFFFF"/>
      <w:shd w:val="clear" w:color="auto" w:fill="226EBC"/>
    </w:rPr>
  </w:style>
  <w:style w:type="character" w:customStyle="1" w:styleId="129">
    <w:name w:val="z1"/>
    <w:basedOn w:val="28"/>
    <w:qFormat/>
    <w:uiPriority w:val="0"/>
  </w:style>
  <w:style w:type="paragraph" w:styleId="130">
    <w:name w:val="List Paragraph"/>
    <w:basedOn w:val="1"/>
    <w:unhideWhenUsed/>
    <w:qFormat/>
    <w:uiPriority w:val="99"/>
    <w:pPr>
      <w:widowControl w:val="0"/>
      <w:ind w:firstLine="420" w:firstLineChars="200"/>
      <w:jc w:val="both"/>
    </w:pPr>
    <w:rPr>
      <w:rFonts w:ascii="Times New Roman" w:hAnsi="Times New Roman" w:cs="Times New Roman"/>
      <w:kern w:val="2"/>
      <w:sz w:val="21"/>
    </w:rPr>
  </w:style>
  <w:style w:type="character" w:customStyle="1" w:styleId="131">
    <w:name w:val="hover27"/>
    <w:basedOn w:val="28"/>
    <w:qFormat/>
    <w:uiPriority w:val="0"/>
    <w:rPr>
      <w:color w:val="1258AD"/>
      <w:u w:val="none"/>
      <w:bdr w:val="single" w:color="1258AD" w:sz="6" w:space="0"/>
    </w:rPr>
  </w:style>
  <w:style w:type="character" w:customStyle="1" w:styleId="132">
    <w:name w:val="c-icon"/>
    <w:basedOn w:val="28"/>
    <w:qFormat/>
    <w:uiPriority w:val="0"/>
  </w:style>
  <w:style w:type="character" w:customStyle="1" w:styleId="133">
    <w:name w:val="fontstrikethrough"/>
    <w:basedOn w:val="28"/>
    <w:uiPriority w:val="0"/>
    <w:rPr>
      <w:strike/>
    </w:rPr>
  </w:style>
  <w:style w:type="character" w:customStyle="1" w:styleId="134">
    <w:name w:val="fontborder"/>
    <w:basedOn w:val="28"/>
    <w:uiPriority w:val="0"/>
    <w:rPr>
      <w:bdr w:val="single" w:color="000000" w:sz="6" w:space="0"/>
    </w:rPr>
  </w:style>
  <w:style w:type="character" w:customStyle="1" w:styleId="135">
    <w:name w:val="c-icon14"/>
    <w:basedOn w:val="28"/>
    <w:uiPriority w:val="0"/>
  </w:style>
  <w:style w:type="paragraph" w:customStyle="1" w:styleId="136">
    <w:name w:val="textaligncenter"/>
    <w:basedOn w:val="1"/>
    <w:uiPriority w:val="0"/>
    <w:pPr>
      <w:spacing w:before="100" w:beforeAutospacing="1" w:after="100" w:afterAutospacing="1"/>
    </w:pPr>
  </w:style>
  <w:style w:type="character" w:customStyle="1" w:styleId="137">
    <w:name w:val="称呼 Char"/>
    <w:basedOn w:val="28"/>
    <w:link w:val="11"/>
    <w:uiPriority w:val="0"/>
    <w:rPr>
      <w:kern w:val="2"/>
      <w:sz w:val="21"/>
      <w:szCs w:val="24"/>
    </w:rPr>
  </w:style>
  <w:style w:type="paragraph" w:customStyle="1" w:styleId="138">
    <w:name w:val="section"/>
    <w:basedOn w:val="1"/>
    <w:uiPriority w:val="0"/>
    <w:pPr>
      <w:spacing w:before="100" w:beforeAutospacing="1" w:after="100" w:afterAutospacing="1"/>
    </w:pPr>
  </w:style>
  <w:style w:type="paragraph" w:customStyle="1" w:styleId="139">
    <w:name w:val="Default"/>
    <w:qFormat/>
    <w:uiPriority w:val="0"/>
    <w:pPr>
      <w:widowControl w:val="0"/>
      <w:autoSpaceDE w:val="0"/>
      <w:autoSpaceDN w:val="0"/>
      <w:adjustRightInd w:val="0"/>
    </w:pPr>
    <w:rPr>
      <w:rFonts w:ascii="Times New Roman" w:hAnsi="Times New Roman" w:eastAsia="微软雅黑" w:cs="Times New Roman"/>
      <w:color w:val="000000"/>
      <w:sz w:val="24"/>
      <w:szCs w:val="24"/>
      <w:lang w:val="en-US" w:eastAsia="zh-CN" w:bidi="ar-SA"/>
    </w:rPr>
  </w:style>
  <w:style w:type="character" w:customStyle="1" w:styleId="140">
    <w:name w:val="正文文本 Char1"/>
    <w:basedOn w:val="28"/>
    <w:link w:val="12"/>
    <w:uiPriority w:val="0"/>
    <w:rPr>
      <w:rFonts w:ascii="Arial" w:hAnsi="Arial" w:eastAsia="楷体_GB2312" w:cs="宋体"/>
      <w:sz w:val="24"/>
      <w:szCs w:val="24"/>
    </w:rPr>
  </w:style>
  <w:style w:type="paragraph" w:customStyle="1" w:styleId="141">
    <w:name w:val="lead28"/>
    <w:basedOn w:val="1"/>
    <w:qFormat/>
    <w:uiPriority w:val="0"/>
  </w:style>
  <w:style w:type="paragraph" w:customStyle="1" w:styleId="142">
    <w:name w:val="grey-text"/>
    <w:basedOn w:val="1"/>
    <w:uiPriority w:val="0"/>
    <w:pPr>
      <w:spacing w:after="153"/>
    </w:pPr>
    <w:rPr>
      <w:color w:val="464646"/>
      <w:sz w:val="25"/>
      <w:szCs w:val="25"/>
    </w:rPr>
  </w:style>
  <w:style w:type="paragraph" w:customStyle="1" w:styleId="143">
    <w:name w:val="正文 New"/>
    <w:next w:val="1"/>
    <w:qFormat/>
    <w:uiPriority w:val="0"/>
    <w:pPr>
      <w:widowControl w:val="0"/>
      <w:jc w:val="both"/>
    </w:pPr>
    <w:rPr>
      <w:rFonts w:ascii="Calibri" w:hAnsi="Calibri" w:eastAsia="宋体" w:cs="Times New Roman"/>
      <w:kern w:val="2"/>
      <w:sz w:val="21"/>
      <w:szCs w:val="22"/>
      <w:lang w:val="en-US" w:eastAsia="zh-CN" w:bidi="ar-SA"/>
    </w:rPr>
  </w:style>
  <w:style w:type="character" w:customStyle="1" w:styleId="144">
    <w:name w:val="正文文本缩进 2 Char"/>
    <w:basedOn w:val="28"/>
    <w:link w:val="17"/>
    <w:qFormat/>
    <w:uiPriority w:val="99"/>
    <w:rPr>
      <w:rFonts w:ascii="Times New Roman" w:hAnsi="Times New Roman" w:eastAsia="宋体" w:cs="Times New Roman"/>
      <w:kern w:val="2"/>
      <w:sz w:val="21"/>
      <w:szCs w:val="24"/>
    </w:rPr>
  </w:style>
  <w:style w:type="paragraph" w:customStyle="1" w:styleId="145">
    <w:name w:val="图表目录1"/>
    <w:basedOn w:val="1"/>
    <w:next w:val="1"/>
    <w:qFormat/>
    <w:uiPriority w:val="0"/>
    <w:pPr>
      <w:widowControl w:val="0"/>
      <w:ind w:left="200" w:leftChars="200" w:hanging="200" w:hangingChars="200"/>
      <w:jc w:val="both"/>
    </w:pPr>
    <w:rPr>
      <w:rFonts w:ascii="Calibri" w:hAnsi="Calibri" w:cs="Times New Roman"/>
      <w:kern w:val="2"/>
      <w:sz w:val="21"/>
      <w:szCs w:val="22"/>
    </w:rPr>
  </w:style>
  <w:style w:type="character" w:customStyle="1" w:styleId="146">
    <w:name w:val="size"/>
    <w:basedOn w:val="28"/>
    <w:qFormat/>
    <w:uiPriority w:val="0"/>
  </w:style>
  <w:style w:type="character" w:customStyle="1" w:styleId="147">
    <w:name w:val="m"/>
    <w:basedOn w:val="28"/>
    <w:qFormat/>
    <w:uiPriority w:val="0"/>
  </w:style>
  <w:style w:type="paragraph" w:customStyle="1" w:styleId="148">
    <w:name w:val="char"/>
    <w:basedOn w:val="1"/>
    <w:qFormat/>
    <w:uiPriority w:val="0"/>
    <w:pPr>
      <w:spacing w:after="160" w:line="240" w:lineRule="exact"/>
    </w:pPr>
    <w:rPr>
      <w:rFonts w:ascii="Verdana" w:hAnsi="Verdana" w:eastAsia="仿宋_GB2312" w:cs="”“Times New Roman”“"/>
      <w:szCs w:val="20"/>
      <w:lang w:eastAsia="en-US"/>
    </w:rPr>
  </w:style>
  <w:style w:type="paragraph" w:customStyle="1" w:styleId="149">
    <w:name w:val="Char Char Char Char"/>
    <w:basedOn w:val="1"/>
    <w:semiHidden/>
    <w:uiPriority w:val="0"/>
    <w:pPr>
      <w:widowControl w:val="0"/>
      <w:tabs>
        <w:tab w:val="left" w:pos="360"/>
      </w:tabs>
      <w:jc w:val="both"/>
    </w:pPr>
    <w:rPr>
      <w:rFonts w:ascii="Times New Roman" w:hAnsi="Times New Roman" w:cs="Times New Roman"/>
      <w:kern w:val="2"/>
    </w:rPr>
  </w:style>
  <w:style w:type="paragraph" w:customStyle="1" w:styleId="150">
    <w:name w:val="报告三标"/>
    <w:basedOn w:val="1"/>
    <w:qFormat/>
    <w:uiPriority w:val="0"/>
    <w:pPr>
      <w:widowControl w:val="0"/>
      <w:spacing w:before="10" w:after="10" w:line="480" w:lineRule="exact"/>
      <w:jc w:val="both"/>
      <w:outlineLvl w:val="2"/>
    </w:pPr>
    <w:rPr>
      <w:rFonts w:ascii="黑体" w:hAnsi="黑体" w:eastAsia="黑体" w:cs="黑体"/>
      <w:kern w:val="2"/>
      <w:sz w:val="21"/>
      <w:szCs w:val="21"/>
    </w:rPr>
  </w:style>
  <w:style w:type="paragraph" w:customStyle="1" w:styleId="151">
    <w:name w:val="表中文字"/>
    <w:basedOn w:val="1"/>
    <w:qFormat/>
    <w:uiPriority w:val="0"/>
    <w:pPr>
      <w:widowControl w:val="0"/>
      <w:tabs>
        <w:tab w:val="left" w:pos="3286"/>
        <w:tab w:val="left" w:pos="8362"/>
      </w:tabs>
      <w:snapToGrid w:val="0"/>
      <w:spacing w:line="340" w:lineRule="exact"/>
      <w:jc w:val="center"/>
    </w:pPr>
    <w:rPr>
      <w:rFonts w:ascii="Arial" w:hAnsi="Arial" w:eastAsia="楷体_GB2312" w:cs="Times New Roman"/>
      <w:kern w:val="2"/>
      <w:sz w:val="21"/>
      <w:szCs w:val="21"/>
      <w:shd w:val="clear" w:color="auto" w:fill="FFFFFF"/>
    </w:rPr>
  </w:style>
  <w:style w:type="paragraph" w:customStyle="1" w:styleId="152">
    <w:name w:val="表名"/>
    <w:basedOn w:val="1"/>
    <w:uiPriority w:val="0"/>
    <w:pPr>
      <w:widowControl w:val="0"/>
      <w:tabs>
        <w:tab w:val="left" w:pos="1350"/>
      </w:tabs>
      <w:autoSpaceDE w:val="0"/>
      <w:autoSpaceDN w:val="0"/>
      <w:adjustRightInd w:val="0"/>
      <w:snapToGrid w:val="0"/>
      <w:spacing w:before="234" w:after="78" w:line="320" w:lineRule="exact"/>
      <w:ind w:firstLine="241" w:firstLineChars="100"/>
      <w:jc w:val="center"/>
    </w:pPr>
    <w:rPr>
      <w:rFonts w:ascii="Arial" w:hAnsi="Arial" w:eastAsia="楷体_GB2312" w:cs="Arial"/>
      <w:b/>
      <w:kern w:val="2"/>
      <w:shd w:val="clear" w:color="auto" w:fill="FFFFFF"/>
    </w:rPr>
  </w:style>
  <w:style w:type="paragraph" w:customStyle="1" w:styleId="153">
    <w:name w:val="表格内容"/>
    <w:basedOn w:val="1"/>
    <w:qFormat/>
    <w:uiPriority w:val="0"/>
    <w:pPr>
      <w:widowControl w:val="0"/>
      <w:overflowPunct w:val="0"/>
      <w:adjustRightInd w:val="0"/>
      <w:spacing w:line="240" w:lineRule="exact"/>
      <w:jc w:val="center"/>
      <w:textAlignment w:val="baseline"/>
    </w:pPr>
    <w:rPr>
      <w:rFonts w:ascii="Times New Roman" w:hAnsi="Times New Roman" w:cs="Times New Roman"/>
      <w:sz w:val="18"/>
      <w:szCs w:val="20"/>
    </w:rPr>
  </w:style>
  <w:style w:type="paragraph" w:customStyle="1" w:styleId="154">
    <w:name w:val="正文 New New New New New New New New New New New New New New New New"/>
    <w:uiPriority w:val="0"/>
    <w:pPr>
      <w:widowControl w:val="0"/>
      <w:jc w:val="both"/>
    </w:pPr>
    <w:rPr>
      <w:rFonts w:ascii="Calibri" w:hAnsi="Calibri" w:eastAsia="宋体" w:cs="Times New Roman"/>
      <w:kern w:val="2"/>
      <w:sz w:val="21"/>
      <w:szCs w:val="24"/>
      <w:lang w:val="en-US" w:eastAsia="zh-CN" w:bidi="ar-SA"/>
    </w:rPr>
  </w:style>
  <w:style w:type="paragraph" w:customStyle="1" w:styleId="155">
    <w:name w:val="6数字编号"/>
    <w:basedOn w:val="1"/>
    <w:qFormat/>
    <w:uiPriority w:val="0"/>
    <w:pPr>
      <w:widowControl w:val="0"/>
      <w:numPr>
        <w:ilvl w:val="0"/>
        <w:numId w:val="1"/>
      </w:numPr>
      <w:overflowPunct w:val="0"/>
      <w:snapToGrid w:val="0"/>
      <w:spacing w:beforeLines="50" w:line="480" w:lineRule="exact"/>
      <w:ind w:firstLine="0"/>
      <w:jc w:val="both"/>
    </w:pPr>
    <w:rPr>
      <w:rFonts w:ascii="Arial" w:hAnsi="Arial" w:eastAsia="楷体" w:cs="Arial"/>
      <w:b/>
      <w:bCs/>
      <w:kern w:val="2"/>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emf"/><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D67305-AA8D-47A5-9EC4-8AD013C3CF1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73</Pages>
  <Words>6127</Words>
  <Characters>34925</Characters>
  <Lines>291</Lines>
  <Paragraphs>81</Paragraphs>
  <TotalTime>23</TotalTime>
  <ScaleCrop>false</ScaleCrop>
  <LinksUpToDate>false</LinksUpToDate>
  <CharactersWithSpaces>40971</CharactersWithSpaces>
  <Application>WPS Office_10.8.2.6726_F1E327BC-269C-435d-A152-05C5408002CA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2022-08-28T02:42:00Z</dcterms:created>
  <dc:creator>微软用户</dc:creator>
  <cp:lastModifiedBy>张永</cp:lastModifiedBy>
  <cp:lastPrinted>2021-12-23T12:06:00Z</cp:lastPrinted>
  <dcterms:modified xsi:type="dcterms:W3CDTF">2022-09-02T07:35:59Z</dcterms:modified>
  <dc:title>四川泸县经济开发区管理委员员会</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y fmtid="{D5CDD505-2E9C-101B-9397-08002B2CF9AE}" pid="3" name="ICV">
    <vt:lpwstr>EA4F617B5E604D5EB788579557B48347</vt:lpwstr>
  </property>
</Properties>
</file>